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tabs>
          <w:tab w:pos="7199" w:val="left" w:leader="none"/>
        </w:tabs>
      </w:pPr>
      <w:r>
        <w:rPr/>
        <w:t>餐饮公司单店</w:t>
        <w:tab/>
        <w:t>特许加盟合同书</w:t>
      </w:r>
    </w:p>
    <w:p>
      <w:pPr>
        <w:pStyle w:val="BodyText"/>
        <w:spacing w:before="2"/>
        <w:ind w:left="0"/>
        <w:rPr>
          <w:sz w:val="86"/>
        </w:rPr>
      </w:pPr>
    </w:p>
    <w:p>
      <w:pPr>
        <w:pStyle w:val="BodyText"/>
        <w:spacing w:line="326" w:lineRule="auto"/>
        <w:ind w:right="12639"/>
        <w:jc w:val="both"/>
      </w:pPr>
      <w:r>
        <w:rPr/>
        <w:drawing>
          <wp:anchor distT="0" distB="0" distL="0" distR="0" allowOverlap="1" layoutInCell="1" locked="0" behindDoc="1" simplePos="0" relativeHeight="487435776">
            <wp:simplePos x="0" y="0"/>
            <wp:positionH relativeFrom="page">
              <wp:posOffset>1380666</wp:posOffset>
            </wp:positionH>
            <wp:positionV relativeFrom="paragraph">
              <wp:posOffset>316166</wp:posOffset>
            </wp:positionV>
            <wp:extent cx="9221333" cy="1185600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221333" cy="11856000"/>
                    </a:xfrm>
                    <a:prstGeom prst="rect">
                      <a:avLst/>
                    </a:prstGeom>
                  </pic:spPr>
                </pic:pic>
              </a:graphicData>
            </a:graphic>
          </wp:anchor>
        </w:drawing>
      </w:r>
      <w:r>
        <w:rPr/>
        <w:t>特许人（甲方）： 受许人（乙方）： 签约地：</w:t>
      </w:r>
    </w:p>
    <w:p>
      <w:pPr>
        <w:pStyle w:val="BodyText"/>
        <w:spacing w:before="4"/>
        <w:ind w:left="0"/>
        <w:rPr>
          <w:sz w:val="60"/>
        </w:rPr>
      </w:pPr>
    </w:p>
    <w:p>
      <w:pPr>
        <w:pStyle w:val="BodyText"/>
        <w:tabs>
          <w:tab w:pos="9759" w:val="left" w:leader="none"/>
        </w:tabs>
        <w:spacing w:line="408" w:lineRule="auto" w:before="1"/>
        <w:ind w:right="659" w:firstLine="880"/>
      </w:pPr>
      <w:r>
        <w:rPr/>
        <w:t>甲、乙双方依照《中华人民共和国合同法》、《商业特许经营管理条例》等  有关法律、法规的规定，参照特许经营连锁惯例，本着平等自愿、友好诚信、互   惠互利、共同发展的原则，就甲方特许乙方加盟</w:t>
        <w:tab/>
      </w:r>
      <w:r>
        <w:rPr>
          <w:rFonts w:ascii="Arial" w:eastAsia="Arial"/>
          <w:spacing w:val="-11"/>
        </w:rPr>
        <w:t>XXXX</w:t>
      </w:r>
      <w:r>
        <w:rPr/>
        <w:t>连锁店经营一事，经充</w:t>
      </w:r>
      <w:r>
        <w:rPr>
          <w:spacing w:val="-18"/>
        </w:rPr>
        <w:t>分</w:t>
      </w:r>
      <w:r>
        <w:rPr/>
        <w:t>协商达成以下协议：</w:t>
      </w:r>
    </w:p>
    <w:p>
      <w:pPr>
        <w:pStyle w:val="BodyText"/>
        <w:spacing w:before="26"/>
        <w:ind w:left="1000"/>
      </w:pPr>
      <w:r>
        <w:rPr/>
        <w:t>一、加盟安排</w:t>
      </w:r>
    </w:p>
    <w:p>
      <w:pPr>
        <w:pStyle w:val="BodyText"/>
        <w:spacing w:before="392"/>
        <w:ind w:left="1020"/>
      </w:pPr>
      <w:r>
        <w:rPr/>
        <w:t>（一）特许经营项目</w:t>
      </w:r>
    </w:p>
    <w:p>
      <w:pPr>
        <w:pStyle w:val="BodyText"/>
        <w:tabs>
          <w:tab w:pos="1939" w:val="left" w:leader="none"/>
          <w:tab w:pos="8659" w:val="left" w:leader="none"/>
        </w:tabs>
        <w:spacing w:line="326" w:lineRule="auto" w:before="233"/>
        <w:ind w:right="1159" w:firstLine="880"/>
        <w:jc w:val="both"/>
      </w:pPr>
      <w:r>
        <w:rPr/>
        <w:t>甲方根据其自主开发并经营“</w:t>
        <w:tab/>
        <w:t>”餐饮连锁的成功经验，建立起</w:t>
      </w:r>
      <w:r>
        <w:rPr>
          <w:spacing w:val="-18"/>
        </w:rPr>
        <w:t>以</w:t>
      </w:r>
      <w:r>
        <w:rPr/>
        <w:t>“</w:t>
        <w:tab/>
        <w:t>”品牌为代表的特许经营系统。甲方将拥有的特许资源授权乙方在加</w:t>
      </w:r>
      <w:r>
        <w:rPr>
          <w:spacing w:val="-18"/>
        </w:rPr>
        <w:t>盟</w:t>
      </w:r>
      <w:r>
        <w:rPr/>
        <w:t>期限及特许区域内依照约定方式使用，并向乙方提供经营支持。</w:t>
      </w:r>
    </w:p>
    <w:p>
      <w:pPr>
        <w:pStyle w:val="BodyText"/>
        <w:spacing w:line="336" w:lineRule="auto" w:before="4"/>
        <w:ind w:right="459" w:firstLine="880"/>
        <w:jc w:val="both"/>
      </w:pPr>
      <w:r>
        <w:rPr/>
        <w:t>乙方应当依照本合同约定缴纳各项费用，按照甲方要求开办      </w:t>
      </w:r>
      <w:r>
        <w:rPr>
          <w:rFonts w:ascii="Arial" w:eastAsia="Arial"/>
        </w:rPr>
        <w:t>XXXX</w:t>
      </w:r>
      <w:r>
        <w:rPr/>
        <w:t>特许加盟店，执行甲方统一管理体系，使用甲方配送的专门物品，专门经营、销售甲方研</w:t>
      </w:r>
    </w:p>
    <w:p>
      <w:pPr>
        <w:pStyle w:val="BodyText"/>
        <w:spacing w:line="543" w:lineRule="exact"/>
      </w:pPr>
      <w:r>
        <w:rPr/>
        <w:t>发的所有产品。</w:t>
      </w:r>
    </w:p>
    <w:p>
      <w:pPr>
        <w:pStyle w:val="BodyText"/>
        <w:spacing w:before="232"/>
        <w:ind w:left="1020"/>
      </w:pPr>
      <w:r>
        <w:rPr/>
        <w:t>（二）特许区域及店面</w:t>
      </w:r>
    </w:p>
    <w:p>
      <w:pPr>
        <w:pStyle w:val="BodyText"/>
        <w:tabs>
          <w:tab w:pos="10039" w:val="left" w:leader="none"/>
          <w:tab w:pos="12319" w:val="left" w:leader="none"/>
          <w:tab w:pos="13399" w:val="left" w:leader="none"/>
          <w:tab w:pos="14559" w:val="left" w:leader="none"/>
        </w:tabs>
        <w:spacing w:line="336" w:lineRule="auto" w:before="213"/>
        <w:ind w:right="619" w:firstLine="940"/>
      </w:pPr>
      <w:r>
        <w:rPr/>
        <w:t>乙方获准行使特许经营权的区域为：</w:t>
        <w:tab/>
        <w:t>省</w:t>
        <w:tab/>
        <w:t>市</w:t>
        <w:tab/>
        <w:tab/>
        <w:t>地 区</w:t>
        <w:tab/>
      </w:r>
      <w:r>
        <w:rPr>
          <w:spacing w:val="40"/>
        </w:rPr>
        <w:t>路</w:t>
      </w:r>
      <w:r>
        <w:rPr>
          <w:rFonts w:ascii="Arial" w:eastAsia="Arial"/>
        </w:rPr>
        <w:t>/</w:t>
      </w:r>
      <w:r>
        <w:rPr>
          <w:rFonts w:ascii="Arial" w:eastAsia="Arial"/>
          <w:spacing w:val="-34"/>
        </w:rPr>
        <w:t> </w:t>
      </w:r>
      <w:r>
        <w:rPr>
          <w:spacing w:val="40"/>
        </w:rPr>
        <w:t>街</w:t>
      </w:r>
      <w:r>
        <w:rPr>
          <w:rFonts w:ascii="Arial" w:eastAsia="Arial"/>
        </w:rPr>
        <w:t>/</w:t>
      </w:r>
      <w:r>
        <w:rPr>
          <w:rFonts w:ascii="Arial" w:eastAsia="Arial"/>
          <w:spacing w:val="6"/>
        </w:rPr>
        <w:t> </w:t>
      </w:r>
      <w:r>
        <w:rPr/>
        <w:t>道</w:t>
        <w:tab/>
        <w:tab/>
        <w:t>号店面内</w:t>
      </w:r>
      <w:r>
        <w:rPr>
          <w:spacing w:val="-18"/>
        </w:rPr>
        <w:t>，</w:t>
      </w:r>
    </w:p>
    <w:p>
      <w:pPr>
        <w:pStyle w:val="BodyText"/>
        <w:tabs>
          <w:tab w:pos="11759" w:val="left" w:leader="none"/>
        </w:tabs>
        <w:spacing w:line="543" w:lineRule="exact"/>
      </w:pPr>
      <w:r>
        <w:rPr/>
        <w:t>乙方不得超出上述区域以特许加盟商的名义进行经营活动。</w:t>
        <w:tab/>
        <w:t>乙方需要跨区域拓展</w:t>
      </w:r>
    </w:p>
    <w:p>
      <w:pPr>
        <w:pStyle w:val="BodyText"/>
        <w:tabs>
          <w:tab w:pos="8239" w:val="left" w:leader="none"/>
        </w:tabs>
        <w:spacing w:line="326" w:lineRule="auto" w:before="233"/>
        <w:ind w:right="939"/>
      </w:pPr>
      <w:r>
        <w:rPr/>
        <w:t>加盟业务的，必须以书面形式向甲方申请</w:t>
        <w:tab/>
      </w:r>
      <w:r>
        <w:rPr>
          <w:rFonts w:ascii="Arial" w:eastAsia="Arial"/>
        </w:rPr>
        <w:t>,</w:t>
      </w:r>
      <w:r>
        <w:rPr>
          <w:rFonts w:ascii="Arial" w:eastAsia="Arial"/>
          <w:spacing w:val="-14"/>
        </w:rPr>
        <w:t> </w:t>
      </w:r>
      <w:r>
        <w:rPr/>
        <w:t>经甲方同意双方另行签订加盟合同</w:t>
      </w:r>
      <w:r>
        <w:rPr>
          <w:spacing w:val="-18"/>
        </w:rPr>
        <w:t>约</w:t>
      </w:r>
      <w:r>
        <w:rPr/>
        <w:t>定。</w:t>
      </w:r>
    </w:p>
    <w:p>
      <w:pPr>
        <w:pStyle w:val="BodyText"/>
        <w:tabs>
          <w:tab w:pos="8959" w:val="left" w:leader="none"/>
          <w:tab w:pos="10559" w:val="left" w:leader="none"/>
          <w:tab w:pos="15119" w:val="left" w:leader="none"/>
        </w:tabs>
        <w:spacing w:before="2"/>
        <w:ind w:left="1000"/>
      </w:pPr>
      <w:r>
        <w:rPr/>
        <w:t>签订合同时，</w:t>
      </w:r>
      <w:r>
        <w:rPr>
          <w:spacing w:val="-70"/>
        </w:rPr>
        <w:t> </w:t>
      </w:r>
      <w:r>
        <w:rPr/>
        <w:t>乙方加盟店面积为</w:t>
        <w:tab/>
        <w:t>平方米</w:t>
        <w:tab/>
      </w:r>
      <w:r>
        <w:rPr>
          <w:spacing w:val="-120"/>
        </w:rPr>
        <w:t>，</w:t>
      </w:r>
      <w:r>
        <w:rPr/>
        <w:t>从业人数为</w:t>
        <w:tab/>
      </w:r>
      <w:r>
        <w:rPr>
          <w:spacing w:val="40"/>
        </w:rPr>
        <w:t>人</w:t>
      </w:r>
      <w:r>
        <w:rPr/>
        <w:t>。</w:t>
      </w:r>
    </w:p>
    <w:p>
      <w:pPr>
        <w:spacing w:after="0"/>
        <w:sectPr>
          <w:type w:val="continuous"/>
          <w:pgSz w:w="19120" w:h="27080"/>
          <w:pgMar w:top="2480" w:bottom="280" w:left="1600" w:right="1400"/>
        </w:sectPr>
      </w:pPr>
    </w:p>
    <w:p>
      <w:pPr>
        <w:pStyle w:val="BodyText"/>
        <w:spacing w:before="20"/>
        <w:ind w:left="1020"/>
      </w:pPr>
      <w:r>
        <w:rPr/>
        <w:t>（三）加盟期限及续签</w:t>
      </w:r>
    </w:p>
    <w:p>
      <w:pPr>
        <w:pStyle w:val="BodyText"/>
        <w:tabs>
          <w:tab w:pos="1939" w:val="left" w:leader="none"/>
          <w:tab w:pos="5079" w:val="left" w:leader="none"/>
          <w:tab w:pos="5519" w:val="left" w:leader="none"/>
          <w:tab w:pos="7539" w:val="left" w:leader="none"/>
          <w:tab w:pos="9119" w:val="left" w:leader="none"/>
          <w:tab w:pos="12279" w:val="left" w:leader="none"/>
        </w:tabs>
        <w:spacing w:line="336" w:lineRule="auto" w:before="232"/>
        <w:ind w:right="3419" w:firstLine="880"/>
      </w:pPr>
      <w:r>
        <w:rPr/>
        <w:drawing>
          <wp:anchor distT="0" distB="0" distL="0" distR="0" allowOverlap="1" layoutInCell="1" locked="0" behindDoc="1" simplePos="0" relativeHeight="487436288">
            <wp:simplePos x="0" y="0"/>
            <wp:positionH relativeFrom="page">
              <wp:posOffset>1380666</wp:posOffset>
            </wp:positionH>
            <wp:positionV relativeFrom="paragraph">
              <wp:posOffset>465486</wp:posOffset>
            </wp:positionV>
            <wp:extent cx="8701999" cy="1026000"/>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8701999" cy="1026000"/>
                    </a:xfrm>
                    <a:prstGeom prst="rect">
                      <a:avLst/>
                    </a:prstGeom>
                  </pic:spPr>
                </pic:pic>
              </a:graphicData>
            </a:graphic>
          </wp:anchor>
        </w:drawing>
      </w:r>
      <w:r>
        <w:rPr/>
        <w:t>本合同加盟期自</w:t>
        <w:tab/>
        <w:tab/>
        <w:t>年</w:t>
        <w:tab/>
        <w:t>月</w:t>
        <w:tab/>
        <w:t>日起至</w:t>
        <w:tab/>
      </w:r>
      <w:r>
        <w:rPr>
          <w:spacing w:val="-18"/>
        </w:rPr>
        <w:t>年</w:t>
      </w:r>
      <w:r>
        <w:rPr/>
        <w:t>月</w:t>
        <w:tab/>
        <w:t>日止，共</w:t>
        <w:tab/>
        <w:t>年。</w:t>
      </w:r>
    </w:p>
    <w:p>
      <w:pPr>
        <w:pStyle w:val="BodyText"/>
        <w:tabs>
          <w:tab w:pos="9999" w:val="left" w:leader="none"/>
        </w:tabs>
        <w:spacing w:line="543" w:lineRule="exact"/>
        <w:ind w:left="1000"/>
      </w:pPr>
      <w:r>
        <w:rPr/>
        <w:t>合同届满需要续签的，乙方应提前至少</w:t>
        <w:tab/>
        <w:t>天向甲方提出书面申请。届时</w:t>
      </w:r>
    </w:p>
    <w:p>
      <w:pPr>
        <w:pStyle w:val="BodyText"/>
        <w:spacing w:line="331" w:lineRule="auto" w:before="213"/>
        <w:ind w:right="1299"/>
        <w:jc w:val="both"/>
      </w:pPr>
      <w:r>
        <w:rPr/>
        <w:t>甲方根据加盟政策，有权对加盟费做出适当调整。经甲方审核同意后，乙方应一次性支付加盟费，双方续签加盟合同；甲方不同意或乙方不申请的，合同期满后自动终止。</w:t>
      </w:r>
    </w:p>
    <w:p>
      <w:pPr>
        <w:pStyle w:val="BodyText"/>
        <w:spacing w:line="576" w:lineRule="exact"/>
        <w:ind w:left="1020"/>
      </w:pPr>
      <w:r>
        <w:rPr/>
        <w:t>（四）双方法律关系</w:t>
      </w:r>
    </w:p>
    <w:p>
      <w:pPr>
        <w:pStyle w:val="BodyText"/>
        <w:spacing w:line="324" w:lineRule="auto" w:before="233"/>
        <w:ind w:right="1259" w:firstLine="880"/>
        <w:jc w:val="both"/>
      </w:pPr>
      <w:r>
        <w:rPr/>
        <w:t>甲乙双方为均独立法人，自主经营、自负盈亏、独立核算，对外独立承担民事法律责任。甲乙双方无合伙、联营、承包或其他组织隶属关系，也互不承担任何清偿、代理、承销、担保和其他连带责任。</w:t>
      </w:r>
    </w:p>
    <w:p>
      <w:pPr>
        <w:pStyle w:val="BodyText"/>
        <w:spacing w:line="331" w:lineRule="auto" w:before="21"/>
        <w:ind w:right="1259" w:firstLine="880"/>
        <w:jc w:val="both"/>
      </w:pPr>
      <w:r>
        <w:rPr/>
        <w:t>乙方雇员与甲方之间没有劳动合同关系，不享受甲方的工资、社会保险、津贴福利等待遇。乙方自行承担其加盟店店员工的工资及各种保险和福利等。乙方雇佣店员造成的他人人身伤害或财产损害的，甲方不承担任何责任。</w:t>
      </w:r>
    </w:p>
    <w:p>
      <w:pPr>
        <w:pStyle w:val="BodyText"/>
        <w:spacing w:line="576" w:lineRule="exact"/>
        <w:ind w:left="1020"/>
      </w:pPr>
      <w:r>
        <w:rPr/>
        <w:t>二、特许经营资源授权及维护</w:t>
      </w:r>
    </w:p>
    <w:p>
      <w:pPr>
        <w:pStyle w:val="BodyText"/>
        <w:spacing w:before="213"/>
        <w:ind w:left="1020"/>
      </w:pPr>
      <w:r>
        <w:rPr/>
        <w:t>（一）特许资源释义</w:t>
      </w:r>
    </w:p>
    <w:p>
      <w:pPr>
        <w:pStyle w:val="BodyText"/>
        <w:tabs>
          <w:tab w:pos="8799" w:val="left" w:leader="none"/>
        </w:tabs>
        <w:spacing w:line="326" w:lineRule="auto" w:before="232" w:after="43"/>
        <w:ind w:right="859" w:firstLine="880"/>
      </w:pPr>
      <w:r>
        <w:rPr/>
        <w:t>本合同所称的特许经营资源是甲方经营</w:t>
        <w:tab/>
      </w:r>
      <w:r>
        <w:rPr>
          <w:rFonts w:ascii="Arial" w:eastAsia="Arial"/>
          <w:spacing w:val="-31"/>
        </w:rPr>
        <w:t>XXXX</w:t>
      </w:r>
      <w:r>
        <w:rPr/>
        <w:t>全部商业要素，包括甲方所</w:t>
      </w:r>
      <w:r>
        <w:rPr>
          <w:spacing w:val="-18"/>
        </w:rPr>
        <w:t>拥</w:t>
      </w:r>
      <w:r>
        <w:rPr/>
        <w:t>有的商标权、著作权、专利权、商业秘密及其他经营技术资产等，其中：</w:t>
      </w:r>
    </w:p>
    <w:tbl>
      <w:tblPr>
        <w:tblW w:w="0" w:type="auto"/>
        <w:jc w:val="left"/>
        <w:tblInd w:w="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0"/>
        <w:gridCol w:w="3730"/>
        <w:gridCol w:w="2151"/>
      </w:tblGrid>
      <w:tr>
        <w:trPr>
          <w:trHeight w:val="649" w:hRule="atLeast"/>
        </w:trPr>
        <w:tc>
          <w:tcPr>
            <w:tcW w:w="6440" w:type="dxa"/>
          </w:tcPr>
          <w:p>
            <w:pPr>
              <w:pStyle w:val="TableParagraph"/>
              <w:spacing w:line="548" w:lineRule="exact"/>
              <w:ind w:left="50"/>
              <w:jc w:val="left"/>
              <w:rPr>
                <w:sz w:val="42"/>
              </w:rPr>
            </w:pPr>
            <w:r>
              <w:rPr>
                <w:sz w:val="42"/>
              </w:rPr>
              <w:t>（ </w:t>
            </w:r>
            <w:r>
              <w:rPr>
                <w:rFonts w:ascii="Arial" w:eastAsia="Arial"/>
                <w:sz w:val="42"/>
              </w:rPr>
              <w:t>1</w:t>
            </w:r>
            <w:r>
              <w:rPr>
                <w:sz w:val="42"/>
              </w:rPr>
              <w:t>）商标权是指乙方注册的</w:t>
            </w:r>
          </w:p>
        </w:tc>
        <w:tc>
          <w:tcPr>
            <w:tcW w:w="3730" w:type="dxa"/>
          </w:tcPr>
          <w:p>
            <w:pPr>
              <w:pStyle w:val="TableParagraph"/>
              <w:spacing w:line="548" w:lineRule="exact"/>
              <w:ind w:right="139"/>
              <w:rPr>
                <w:sz w:val="42"/>
              </w:rPr>
            </w:pPr>
            <w:r>
              <w:rPr>
                <w:sz w:val="42"/>
              </w:rPr>
              <w:t>商标，注册号</w:t>
            </w:r>
          </w:p>
        </w:tc>
        <w:tc>
          <w:tcPr>
            <w:tcW w:w="2151" w:type="dxa"/>
          </w:tcPr>
          <w:p>
            <w:pPr>
              <w:pStyle w:val="TableParagraph"/>
              <w:spacing w:line="548" w:lineRule="exact"/>
              <w:ind w:right="48"/>
              <w:rPr>
                <w:rFonts w:ascii="Arial" w:eastAsia="Arial"/>
                <w:sz w:val="42"/>
              </w:rPr>
            </w:pPr>
            <w:r>
              <w:rPr>
                <w:rFonts w:ascii="Arial" w:eastAsia="Arial"/>
                <w:sz w:val="42"/>
              </w:rPr>
              <w:t>XXXXX</w:t>
            </w:r>
            <w:r>
              <w:rPr>
                <w:rFonts w:ascii="Arial" w:eastAsia="Arial"/>
                <w:spacing w:val="-81"/>
                <w:sz w:val="42"/>
              </w:rPr>
              <w:t>X</w:t>
            </w:r>
            <w:r>
              <w:rPr>
                <w:spacing w:val="-340"/>
                <w:sz w:val="42"/>
              </w:rPr>
              <w:t>；</w:t>
            </w:r>
            <w:r>
              <w:rPr>
                <w:rFonts w:ascii="Arial" w:eastAsia="Arial"/>
                <w:sz w:val="42"/>
              </w:rPr>
              <w:t>X</w:t>
            </w:r>
          </w:p>
        </w:tc>
      </w:tr>
      <w:tr>
        <w:trPr>
          <w:trHeight w:val="810" w:hRule="atLeast"/>
        </w:trPr>
        <w:tc>
          <w:tcPr>
            <w:tcW w:w="6440" w:type="dxa"/>
          </w:tcPr>
          <w:p>
            <w:pPr>
              <w:pStyle w:val="TableParagraph"/>
              <w:spacing w:before="111"/>
              <w:ind w:left="50"/>
              <w:jc w:val="left"/>
              <w:rPr>
                <w:sz w:val="42"/>
              </w:rPr>
            </w:pPr>
            <w:r>
              <w:rPr>
                <w:sz w:val="42"/>
              </w:rPr>
              <w:t>（ </w:t>
            </w:r>
            <w:r>
              <w:rPr>
                <w:rFonts w:ascii="Arial" w:eastAsia="Arial"/>
                <w:sz w:val="42"/>
              </w:rPr>
              <w:t>2</w:t>
            </w:r>
            <w:r>
              <w:rPr>
                <w:sz w:val="42"/>
              </w:rPr>
              <w:t>）著作权是指乙方登记的</w:t>
            </w:r>
          </w:p>
        </w:tc>
        <w:tc>
          <w:tcPr>
            <w:tcW w:w="3730" w:type="dxa"/>
          </w:tcPr>
          <w:p>
            <w:pPr>
              <w:pStyle w:val="TableParagraph"/>
              <w:spacing w:before="111"/>
              <w:ind w:right="139"/>
              <w:rPr>
                <w:sz w:val="42"/>
              </w:rPr>
            </w:pPr>
            <w:r>
              <w:rPr>
                <w:sz w:val="42"/>
              </w:rPr>
              <w:t>作品，登记号</w:t>
            </w:r>
          </w:p>
        </w:tc>
        <w:tc>
          <w:tcPr>
            <w:tcW w:w="2151" w:type="dxa"/>
          </w:tcPr>
          <w:p>
            <w:pPr>
              <w:pStyle w:val="TableParagraph"/>
              <w:spacing w:before="111"/>
              <w:ind w:right="48"/>
              <w:rPr>
                <w:rFonts w:ascii="Arial" w:eastAsia="Arial"/>
                <w:sz w:val="42"/>
              </w:rPr>
            </w:pPr>
            <w:r>
              <w:rPr>
                <w:rFonts w:ascii="Arial" w:eastAsia="Arial"/>
                <w:sz w:val="42"/>
              </w:rPr>
              <w:t>XXXXX</w:t>
            </w:r>
            <w:r>
              <w:rPr>
                <w:rFonts w:ascii="Arial" w:eastAsia="Arial"/>
                <w:spacing w:val="-81"/>
                <w:sz w:val="42"/>
              </w:rPr>
              <w:t>X</w:t>
            </w:r>
            <w:r>
              <w:rPr>
                <w:spacing w:val="-340"/>
                <w:sz w:val="42"/>
              </w:rPr>
              <w:t>；</w:t>
            </w:r>
            <w:r>
              <w:rPr>
                <w:rFonts w:ascii="Arial" w:eastAsia="Arial"/>
                <w:sz w:val="42"/>
              </w:rPr>
              <w:t>X</w:t>
            </w:r>
          </w:p>
        </w:tc>
      </w:tr>
      <w:tr>
        <w:trPr>
          <w:trHeight w:val="659" w:hRule="atLeast"/>
        </w:trPr>
        <w:tc>
          <w:tcPr>
            <w:tcW w:w="6440" w:type="dxa"/>
          </w:tcPr>
          <w:p>
            <w:pPr>
              <w:pStyle w:val="TableParagraph"/>
              <w:spacing w:line="518" w:lineRule="exact" w:before="121"/>
              <w:ind w:left="50"/>
              <w:jc w:val="left"/>
              <w:rPr>
                <w:sz w:val="42"/>
              </w:rPr>
            </w:pPr>
            <w:r>
              <w:rPr>
                <w:sz w:val="42"/>
              </w:rPr>
              <w:t>（ </w:t>
            </w:r>
            <w:r>
              <w:rPr>
                <w:rFonts w:ascii="Arial" w:eastAsia="Arial"/>
                <w:sz w:val="42"/>
              </w:rPr>
              <w:t>3</w:t>
            </w:r>
            <w:r>
              <w:rPr>
                <w:sz w:val="42"/>
              </w:rPr>
              <w:t>）专利权是指乙方所有的</w:t>
            </w:r>
          </w:p>
        </w:tc>
        <w:tc>
          <w:tcPr>
            <w:tcW w:w="3730" w:type="dxa"/>
          </w:tcPr>
          <w:p>
            <w:pPr>
              <w:pStyle w:val="TableParagraph"/>
              <w:spacing w:line="518" w:lineRule="exact" w:before="121"/>
              <w:ind w:right="139"/>
              <w:rPr>
                <w:sz w:val="42"/>
              </w:rPr>
            </w:pPr>
            <w:r>
              <w:rPr>
                <w:sz w:val="42"/>
              </w:rPr>
              <w:t>专利，专利号</w:t>
            </w:r>
          </w:p>
        </w:tc>
        <w:tc>
          <w:tcPr>
            <w:tcW w:w="2151" w:type="dxa"/>
          </w:tcPr>
          <w:p>
            <w:pPr>
              <w:pStyle w:val="TableParagraph"/>
              <w:spacing w:line="518" w:lineRule="exact" w:before="121"/>
              <w:ind w:right="48"/>
              <w:rPr>
                <w:rFonts w:ascii="Arial" w:eastAsia="Arial"/>
                <w:sz w:val="42"/>
              </w:rPr>
            </w:pPr>
            <w:r>
              <w:rPr>
                <w:rFonts w:ascii="Arial" w:eastAsia="Arial"/>
                <w:sz w:val="42"/>
              </w:rPr>
              <w:t>XXXXX</w:t>
            </w:r>
            <w:r>
              <w:rPr>
                <w:rFonts w:ascii="Arial" w:eastAsia="Arial"/>
                <w:spacing w:val="-81"/>
                <w:sz w:val="42"/>
              </w:rPr>
              <w:t>X</w:t>
            </w:r>
            <w:r>
              <w:rPr>
                <w:spacing w:val="-340"/>
                <w:sz w:val="42"/>
              </w:rPr>
              <w:t>；</w:t>
            </w:r>
            <w:r>
              <w:rPr>
                <w:rFonts w:ascii="Arial" w:eastAsia="Arial"/>
                <w:sz w:val="42"/>
              </w:rPr>
              <w:t>X</w:t>
            </w:r>
          </w:p>
        </w:tc>
      </w:tr>
    </w:tbl>
    <w:p>
      <w:pPr>
        <w:pStyle w:val="BodyText"/>
        <w:spacing w:line="326" w:lineRule="auto" w:before="262"/>
        <w:ind w:right="1299" w:firstLine="880"/>
        <w:jc w:val="both"/>
      </w:pPr>
      <w:r>
        <w:rPr/>
        <w:t>（</w:t>
      </w:r>
      <w:r>
        <w:rPr>
          <w:spacing w:val="-50"/>
        </w:rPr>
        <w:t> </w:t>
      </w:r>
      <w:r>
        <w:rPr>
          <w:rFonts w:ascii="Arial" w:eastAsia="Arial"/>
          <w:spacing w:val="-7"/>
        </w:rPr>
        <w:t>4</w:t>
      </w:r>
      <w:r>
        <w:rPr>
          <w:spacing w:val="-7"/>
        </w:rPr>
        <w:t>）</w:t>
      </w:r>
      <w:r>
        <w:rPr/>
        <w:t>经营技术资产是指专属商业标识、店面装饰风格、加盟政策体系、培</w:t>
      </w:r>
      <w:r>
        <w:rPr>
          <w:spacing w:val="-1"/>
        </w:rPr>
        <w:t>训体系、营运体系、财会体系、进货渠道和配送体系、商品生产体系、广告宣传</w:t>
      </w:r>
      <w:r>
        <w:rPr/>
        <w:t>及促销体系、信息网络系统、专有技术系统、客户信息等经营管理体系；</w:t>
      </w:r>
    </w:p>
    <w:p>
      <w:pPr>
        <w:pStyle w:val="BodyText"/>
        <w:spacing w:before="23"/>
        <w:ind w:left="1000"/>
        <w:jc w:val="both"/>
      </w:pPr>
      <w:r>
        <w:rPr/>
        <w:t>（ </w:t>
      </w:r>
      <w:r>
        <w:rPr>
          <w:rFonts w:ascii="Arial" w:eastAsia="Arial"/>
        </w:rPr>
        <w:t>5</w:t>
      </w:r>
      <w:r>
        <w:rPr/>
        <w:t>）商业秘密是指上述经营资源中采取保密措施且具有重大商业价值的资</w:t>
      </w:r>
    </w:p>
    <w:p>
      <w:pPr>
        <w:pStyle w:val="BodyText"/>
        <w:spacing w:before="12"/>
        <w:ind w:left="0"/>
        <w:rPr>
          <w:sz w:val="10"/>
        </w:rPr>
      </w:pPr>
    </w:p>
    <w:p>
      <w:pPr>
        <w:pStyle w:val="BodyText"/>
        <w:spacing w:before="41"/>
      </w:pPr>
      <w:r>
        <w:rPr/>
        <w:t>源。</w:t>
      </w:r>
    </w:p>
    <w:p>
      <w:pPr>
        <w:spacing w:after="0"/>
        <w:sectPr>
          <w:pgSz w:w="19120" w:h="27080"/>
          <w:pgMar w:top="2540" w:bottom="280" w:left="1600" w:right="1400"/>
        </w:sectPr>
      </w:pPr>
    </w:p>
    <w:p>
      <w:pPr>
        <w:pStyle w:val="BodyText"/>
        <w:spacing w:before="20"/>
        <w:ind w:left="1020"/>
      </w:pPr>
      <w:r>
        <w:rPr/>
        <w:t>（二）特许资源授权</w:t>
      </w:r>
    </w:p>
    <w:p>
      <w:pPr>
        <w:pStyle w:val="BodyText"/>
        <w:spacing w:before="13"/>
        <w:ind w:left="0"/>
        <w:rPr>
          <w:sz w:val="30"/>
        </w:rPr>
      </w:pPr>
    </w:p>
    <w:p>
      <w:pPr>
        <w:pStyle w:val="BodyText"/>
        <w:ind w:left="800"/>
      </w:pPr>
      <w:r>
        <w:rPr/>
        <w:drawing>
          <wp:anchor distT="0" distB="0" distL="0" distR="0" allowOverlap="1" layoutInCell="1" locked="0" behindDoc="1" simplePos="0" relativeHeight="487436800">
            <wp:simplePos x="0" y="0"/>
            <wp:positionH relativeFrom="page">
              <wp:posOffset>1089333</wp:posOffset>
            </wp:positionH>
            <wp:positionV relativeFrom="paragraph">
              <wp:posOffset>-125533</wp:posOffset>
            </wp:positionV>
            <wp:extent cx="9955999" cy="12666666"/>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9955999" cy="12666666"/>
                    </a:xfrm>
                    <a:prstGeom prst="rect">
                      <a:avLst/>
                    </a:prstGeom>
                  </pic:spPr>
                </pic:pic>
              </a:graphicData>
            </a:graphic>
          </wp:anchor>
        </w:drawing>
      </w:r>
      <w:r>
        <w:rPr/>
        <w:t>甲方将特许资源以非独占许可形式授权乙方在餐饮服务业合理使用，方式限</w:t>
      </w:r>
    </w:p>
    <w:p>
      <w:pPr>
        <w:pStyle w:val="BodyText"/>
        <w:spacing w:before="2"/>
        <w:ind w:left="0"/>
        <w:rPr>
          <w:sz w:val="25"/>
        </w:rPr>
      </w:pPr>
    </w:p>
    <w:p>
      <w:pPr>
        <w:pStyle w:val="BodyText"/>
        <w:spacing w:before="61"/>
        <w:rPr>
          <w:rFonts w:ascii="Arial" w:eastAsia="Arial"/>
        </w:rPr>
      </w:pPr>
      <w:r>
        <w:rPr/>
        <w:t>于</w:t>
      </w:r>
      <w:r>
        <w:rPr>
          <w:rFonts w:ascii="Arial" w:eastAsia="Arial"/>
        </w:rPr>
        <w:t>:</w:t>
      </w:r>
    </w:p>
    <w:p>
      <w:pPr>
        <w:pStyle w:val="BodyText"/>
        <w:ind w:left="0"/>
        <w:rPr>
          <w:rFonts w:ascii="Arial"/>
          <w:sz w:val="20"/>
        </w:rPr>
      </w:pPr>
    </w:p>
    <w:p>
      <w:pPr>
        <w:pStyle w:val="ListParagraph"/>
        <w:numPr>
          <w:ilvl w:val="0"/>
          <w:numId w:val="1"/>
        </w:numPr>
        <w:tabs>
          <w:tab w:pos="1480" w:val="left" w:leader="none"/>
        </w:tabs>
        <w:spacing w:line="240" w:lineRule="auto" w:before="203" w:after="0"/>
        <w:ind w:left="1480" w:right="0" w:hanging="480"/>
        <w:jc w:val="left"/>
        <w:rPr>
          <w:sz w:val="42"/>
        </w:rPr>
      </w:pPr>
      <w:r>
        <w:rPr>
          <w:sz w:val="42"/>
        </w:rPr>
        <w:t>乙方的店面招牌和店内装饰；</w:t>
      </w:r>
    </w:p>
    <w:p>
      <w:pPr>
        <w:pStyle w:val="ListParagraph"/>
        <w:numPr>
          <w:ilvl w:val="0"/>
          <w:numId w:val="1"/>
        </w:numPr>
        <w:tabs>
          <w:tab w:pos="1480" w:val="left" w:leader="none"/>
        </w:tabs>
        <w:spacing w:line="240" w:lineRule="auto" w:before="412" w:after="0"/>
        <w:ind w:left="1480" w:right="0" w:hanging="480"/>
        <w:jc w:val="left"/>
        <w:rPr>
          <w:sz w:val="42"/>
        </w:rPr>
      </w:pPr>
      <w:r>
        <w:rPr>
          <w:sz w:val="42"/>
        </w:rPr>
        <w:t>乙方聘用人员的服装标识；</w:t>
      </w:r>
    </w:p>
    <w:p>
      <w:pPr>
        <w:pStyle w:val="ListParagraph"/>
        <w:numPr>
          <w:ilvl w:val="0"/>
          <w:numId w:val="1"/>
        </w:numPr>
        <w:tabs>
          <w:tab w:pos="1480" w:val="left" w:leader="none"/>
        </w:tabs>
        <w:spacing w:line="240" w:lineRule="auto" w:before="393" w:after="0"/>
        <w:ind w:left="1480" w:right="0" w:hanging="480"/>
        <w:jc w:val="left"/>
        <w:rPr>
          <w:sz w:val="42"/>
        </w:rPr>
      </w:pPr>
      <w:r>
        <w:rPr>
          <w:sz w:val="42"/>
        </w:rPr>
        <w:t>乙方的办公用品、设施及宣传用品；</w:t>
      </w:r>
    </w:p>
    <w:p>
      <w:pPr>
        <w:pStyle w:val="ListParagraph"/>
        <w:numPr>
          <w:ilvl w:val="0"/>
          <w:numId w:val="1"/>
        </w:numPr>
        <w:tabs>
          <w:tab w:pos="1479" w:val="left" w:leader="none"/>
          <w:tab w:pos="1480" w:val="left" w:leader="none"/>
        </w:tabs>
        <w:spacing w:line="240" w:lineRule="auto" w:before="433" w:after="0"/>
        <w:ind w:left="1480" w:right="0" w:hanging="893"/>
        <w:jc w:val="left"/>
        <w:rPr>
          <w:sz w:val="42"/>
        </w:rPr>
      </w:pPr>
      <w:r>
        <w:rPr>
          <w:sz w:val="42"/>
        </w:rPr>
        <w:t>乙方的店内宣传；</w:t>
      </w:r>
    </w:p>
    <w:p>
      <w:pPr>
        <w:pStyle w:val="ListParagraph"/>
        <w:numPr>
          <w:ilvl w:val="0"/>
          <w:numId w:val="1"/>
        </w:numPr>
        <w:tabs>
          <w:tab w:pos="1480" w:val="left" w:leader="none"/>
        </w:tabs>
        <w:spacing w:line="240" w:lineRule="auto" w:before="412" w:after="0"/>
        <w:ind w:left="1480" w:right="0" w:hanging="480"/>
        <w:jc w:val="left"/>
        <w:rPr>
          <w:sz w:val="42"/>
        </w:rPr>
      </w:pPr>
      <w:r>
        <w:rPr>
          <w:sz w:val="42"/>
        </w:rPr>
        <w:t>其它经甲方书面许可的项目。</w:t>
      </w:r>
    </w:p>
    <w:p>
      <w:pPr>
        <w:pStyle w:val="BodyText"/>
        <w:spacing w:before="433"/>
        <w:ind w:left="1020"/>
      </w:pPr>
      <w:r>
        <w:rPr/>
        <w:t>（三）特许资源维护</w:t>
      </w:r>
    </w:p>
    <w:p>
      <w:pPr>
        <w:pStyle w:val="BodyText"/>
        <w:spacing w:line="326" w:lineRule="auto" w:before="392"/>
        <w:ind w:right="1259" w:firstLine="880"/>
      </w:pPr>
      <w:r>
        <w:rPr/>
        <w:t>合同履行期内，乙方应当自觉维护甲方特许资源和品牌商誉，不得从事以下行为：</w:t>
      </w:r>
    </w:p>
    <w:p>
      <w:pPr>
        <w:pStyle w:val="ListParagraph"/>
        <w:numPr>
          <w:ilvl w:val="0"/>
          <w:numId w:val="2"/>
        </w:numPr>
        <w:tabs>
          <w:tab w:pos="1480" w:val="left" w:leader="none"/>
          <w:tab w:pos="13539" w:val="left" w:leader="none"/>
        </w:tabs>
        <w:spacing w:line="408" w:lineRule="auto" w:before="23" w:after="0"/>
        <w:ind w:left="120" w:right="479" w:firstLine="880"/>
        <w:jc w:val="left"/>
        <w:rPr>
          <w:sz w:val="42"/>
        </w:rPr>
      </w:pPr>
      <w:r>
        <w:rPr>
          <w:sz w:val="42"/>
        </w:rPr>
        <w:t>乙方不得在加盟门店以外的产品和服务中使用甲方特许资源。</w:t>
        <w:tab/>
        <w:t>乙方应按</w:t>
      </w:r>
      <w:r>
        <w:rPr>
          <w:spacing w:val="-18"/>
          <w:sz w:val="42"/>
        </w:rPr>
        <w:t>照</w:t>
      </w:r>
      <w:r>
        <w:rPr>
          <w:sz w:val="42"/>
        </w:rPr>
        <w:t>甲方提供的资料进行宣传活动，加盟店自行策划组织的所有宣传活动，必须事先    向甲方提交活动方案书面申请，经甲方批准后方可实施；</w:t>
      </w:r>
    </w:p>
    <w:p>
      <w:pPr>
        <w:pStyle w:val="ListParagraph"/>
        <w:numPr>
          <w:ilvl w:val="0"/>
          <w:numId w:val="2"/>
        </w:numPr>
        <w:tabs>
          <w:tab w:pos="1480" w:val="left" w:leader="none"/>
        </w:tabs>
        <w:spacing w:line="240" w:lineRule="auto" w:before="24" w:after="0"/>
        <w:ind w:left="1480" w:right="0" w:hanging="480"/>
        <w:jc w:val="left"/>
        <w:rPr>
          <w:sz w:val="42"/>
        </w:rPr>
      </w:pPr>
      <w:r>
        <w:rPr>
          <w:sz w:val="42"/>
        </w:rPr>
        <w:t>不得将与甲方商标、作品相同或近似图形、文字注册商标或注册商号；</w:t>
      </w:r>
    </w:p>
    <w:p>
      <w:pPr>
        <w:pStyle w:val="ListParagraph"/>
        <w:numPr>
          <w:ilvl w:val="0"/>
          <w:numId w:val="2"/>
        </w:numPr>
        <w:tabs>
          <w:tab w:pos="1480" w:val="left" w:leader="none"/>
        </w:tabs>
        <w:spacing w:line="240" w:lineRule="auto" w:before="413" w:after="0"/>
        <w:ind w:left="1480" w:right="0" w:hanging="480"/>
        <w:jc w:val="left"/>
        <w:rPr>
          <w:sz w:val="42"/>
        </w:rPr>
      </w:pPr>
      <w:r>
        <w:rPr>
          <w:sz w:val="42"/>
        </w:rPr>
        <w:t>不得私自印制商标或将甲方商标、商业标识与其他商标、商业标识混合使</w:t>
      </w:r>
    </w:p>
    <w:p>
      <w:pPr>
        <w:pStyle w:val="BodyText"/>
        <w:spacing w:before="413"/>
      </w:pPr>
      <w:r>
        <w:rPr/>
        <w:t>用；</w:t>
      </w:r>
    </w:p>
    <w:p>
      <w:pPr>
        <w:pStyle w:val="BodyText"/>
        <w:spacing w:before="13"/>
        <w:ind w:left="0"/>
        <w:rPr>
          <w:sz w:val="30"/>
        </w:rPr>
      </w:pPr>
    </w:p>
    <w:p>
      <w:pPr>
        <w:pStyle w:val="ListParagraph"/>
        <w:numPr>
          <w:ilvl w:val="0"/>
          <w:numId w:val="2"/>
        </w:numPr>
        <w:tabs>
          <w:tab w:pos="1480" w:val="left" w:leader="none"/>
        </w:tabs>
        <w:spacing w:line="240" w:lineRule="auto" w:before="0" w:after="0"/>
        <w:ind w:left="1480" w:right="0" w:hanging="480"/>
        <w:jc w:val="left"/>
        <w:rPr>
          <w:sz w:val="42"/>
        </w:rPr>
      </w:pPr>
      <w:r>
        <w:rPr>
          <w:sz w:val="42"/>
        </w:rPr>
        <w:t>未经甲方许可，不得擅自许可或以其他方式提供第三方使用；</w:t>
      </w:r>
    </w:p>
    <w:p>
      <w:pPr>
        <w:pStyle w:val="ListParagraph"/>
        <w:numPr>
          <w:ilvl w:val="0"/>
          <w:numId w:val="2"/>
        </w:numPr>
        <w:tabs>
          <w:tab w:pos="1480" w:val="left" w:leader="none"/>
        </w:tabs>
        <w:spacing w:line="240" w:lineRule="auto" w:before="393" w:after="0"/>
        <w:ind w:left="1480" w:right="0" w:hanging="480"/>
        <w:jc w:val="left"/>
        <w:rPr>
          <w:sz w:val="42"/>
        </w:rPr>
      </w:pPr>
      <w:r>
        <w:rPr>
          <w:sz w:val="42"/>
        </w:rPr>
        <w:t>不得在本合同终止后继续使用注册商标或特许标识；</w:t>
      </w:r>
    </w:p>
    <w:p>
      <w:pPr>
        <w:pStyle w:val="ListParagraph"/>
        <w:numPr>
          <w:ilvl w:val="0"/>
          <w:numId w:val="2"/>
        </w:numPr>
        <w:tabs>
          <w:tab w:pos="1480" w:val="left" w:leader="none"/>
        </w:tabs>
        <w:spacing w:line="326" w:lineRule="auto" w:before="412" w:after="0"/>
        <w:ind w:left="120" w:right="1199" w:firstLine="880"/>
        <w:jc w:val="left"/>
        <w:rPr>
          <w:sz w:val="42"/>
        </w:rPr>
      </w:pPr>
      <w:r>
        <w:rPr>
          <w:spacing w:val="-1"/>
          <w:sz w:val="42"/>
        </w:rPr>
        <w:t>不得损害甲方品牌形象、加盟体系或其他加盟商商誉，不得妨碍其他加盟</w:t>
      </w:r>
      <w:r>
        <w:rPr>
          <w:sz w:val="42"/>
        </w:rPr>
        <w:t>商的正常经营，不得妨碍甲方在乙方加盟店保护区域外的正常业务开展。否则甲</w:t>
      </w:r>
    </w:p>
    <w:p>
      <w:pPr>
        <w:pStyle w:val="BodyText"/>
        <w:tabs>
          <w:tab w:pos="11839" w:val="left" w:leader="none"/>
        </w:tabs>
        <w:spacing w:line="336" w:lineRule="auto" w:before="3"/>
        <w:ind w:right="459"/>
      </w:pPr>
      <w:r>
        <w:rPr/>
        <w:t>方有权根据情节严重情况给予乙方警告或处以人民币</w:t>
        <w:tab/>
        <w:t>元罚款，</w:t>
      </w:r>
      <w:r>
        <w:rPr>
          <w:spacing w:val="-70"/>
        </w:rPr>
        <w:t> </w:t>
      </w:r>
      <w:r>
        <w:rPr/>
        <w:t>情节极其</w:t>
      </w:r>
      <w:r>
        <w:rPr>
          <w:spacing w:val="-18"/>
        </w:rPr>
        <w:t>严</w:t>
      </w:r>
      <w:r>
        <w:rPr/>
        <w:t>重的甲方有权解除加盟合同，取消对乙方的加盟授权。</w:t>
      </w:r>
    </w:p>
    <w:p>
      <w:pPr>
        <w:spacing w:after="0" w:line="336" w:lineRule="auto"/>
        <w:sectPr>
          <w:pgSz w:w="19120" w:h="27080"/>
          <w:pgMar w:top="2560" w:bottom="280" w:left="1600" w:right="1400"/>
        </w:sectPr>
      </w:pPr>
    </w:p>
    <w:p>
      <w:pPr>
        <w:pStyle w:val="BodyText"/>
        <w:spacing w:before="20"/>
        <w:ind w:left="1020"/>
      </w:pPr>
      <w:r>
        <w:rPr/>
        <w:t>三、加盟相关费用和保证金</w:t>
      </w:r>
    </w:p>
    <w:p>
      <w:pPr>
        <w:pStyle w:val="BodyText"/>
        <w:spacing w:before="232"/>
        <w:ind w:left="1020"/>
      </w:pPr>
      <w:r>
        <w:rPr/>
        <w:t>（一）加盟费</w:t>
      </w:r>
    </w:p>
    <w:p>
      <w:pPr>
        <w:pStyle w:val="BodyText"/>
        <w:tabs>
          <w:tab w:pos="2599" w:val="left" w:leader="none"/>
          <w:tab w:pos="4179" w:val="left" w:leader="none"/>
          <w:tab w:pos="14319" w:val="left" w:leader="none"/>
        </w:tabs>
        <w:spacing w:line="324" w:lineRule="auto" w:before="233"/>
        <w:ind w:right="539" w:firstLine="880"/>
      </w:pPr>
      <w:r>
        <w:rPr/>
        <w:pict>
          <v:group style="position:absolute;margin-left:86pt;margin-top:35.597504pt;width:741.85pt;height:763pt;mso-position-horizontal-relative:page;mso-position-vertical-relative:paragraph;z-index:-15879168" coordorigin="1720,712" coordsize="14837,15260">
            <v:shape style="position:absolute;left:1735;top:711;width:14821;height:15260" type="#_x0000_t75" stroked="false">
              <v:imagedata r:id="rId8" o:title=""/>
            </v:shape>
            <v:line style="position:absolute" from="1720,9563" to="2654,9563" stroked="true" strokeweight="1.323pt" strokecolor="#000000">
              <v:stroke dashstyle="solid"/>
            </v:line>
            <w10:wrap type="none"/>
          </v:group>
        </w:pict>
      </w:r>
      <w:r>
        <w:rPr/>
        <w:t>本合同签订之日</w:t>
        <w:tab/>
      </w:r>
      <w:r>
        <w:rPr>
          <w:rFonts w:ascii="Arial" w:eastAsia="Arial"/>
        </w:rPr>
        <w:t>,</w:t>
      </w:r>
      <w:r>
        <w:rPr>
          <w:rFonts w:ascii="Arial" w:eastAsia="Arial"/>
          <w:spacing w:val="-14"/>
        </w:rPr>
        <w:t> </w:t>
      </w:r>
      <w:r>
        <w:rPr/>
        <w:t>乙方须向甲方支付一次性加盟费人民币</w:t>
        <w:tab/>
        <w:t>元，</w:t>
      </w:r>
      <w:r>
        <w:rPr>
          <w:spacing w:val="-18"/>
        </w:rPr>
        <w:t>大</w:t>
      </w:r>
      <w:r>
        <w:rPr/>
        <w:t>写</w:t>
        <w:tab/>
        <w:t>元，作为乙方取得加盟资格的费用。加盟合同签订后，加盟费不退    还。</w:t>
      </w:r>
    </w:p>
    <w:p>
      <w:pPr>
        <w:pStyle w:val="BodyText"/>
        <w:spacing w:before="21"/>
        <w:ind w:left="1000"/>
      </w:pPr>
      <w:r>
        <w:rPr/>
        <w:t>除乙方违约导致合同解除情况外，不再另行收取加盟费。</w:t>
      </w:r>
    </w:p>
    <w:p>
      <w:pPr>
        <w:pStyle w:val="BodyText"/>
        <w:spacing w:before="213"/>
        <w:ind w:left="1020"/>
      </w:pPr>
      <w:r>
        <w:rPr/>
        <w:t>（二）品牌使用费</w:t>
      </w:r>
    </w:p>
    <w:p>
      <w:pPr>
        <w:pStyle w:val="BodyText"/>
        <w:spacing w:before="213"/>
        <w:ind w:left="1000"/>
      </w:pPr>
      <w:r>
        <w:rPr/>
        <w:t>乙方应向甲方支付品牌使用费作为乙方使用甲方特许资源的对价。</w:t>
      </w:r>
    </w:p>
    <w:p>
      <w:pPr>
        <w:pStyle w:val="BodyText"/>
        <w:tabs>
          <w:tab w:pos="3279" w:val="left" w:leader="none"/>
          <w:tab w:pos="3939" w:val="left" w:leader="none"/>
          <w:tab w:pos="7659" w:val="left" w:leader="none"/>
          <w:tab w:pos="14319" w:val="left" w:leader="none"/>
          <w:tab w:pos="14979" w:val="left" w:leader="none"/>
        </w:tabs>
        <w:spacing w:line="324" w:lineRule="auto" w:before="232"/>
        <w:ind w:right="279" w:firstLine="880"/>
      </w:pPr>
      <w:r>
        <w:rPr/>
        <w:t>本合同签订之日，乙方须向甲方一次性支付品牌使用费人民币</w:t>
        <w:tab/>
        <w:tab/>
      </w:r>
      <w:r>
        <w:rPr>
          <w:spacing w:val="40"/>
        </w:rPr>
        <w:t>元 </w:t>
      </w:r>
      <w:r>
        <w:rPr>
          <w:rFonts w:ascii="Arial" w:eastAsia="Arial"/>
        </w:rPr>
        <w:t>/ </w:t>
      </w:r>
      <w:r>
        <w:rPr/>
        <w:t>年，大写</w:t>
        <w:tab/>
        <w:tab/>
      </w:r>
      <w:r>
        <w:rPr>
          <w:spacing w:val="40"/>
        </w:rPr>
        <w:t>元</w:t>
      </w:r>
      <w:r>
        <w:rPr>
          <w:rFonts w:ascii="Arial" w:eastAsia="Arial"/>
        </w:rPr>
        <w:t>/</w:t>
      </w:r>
      <w:r>
        <w:rPr>
          <w:rFonts w:ascii="Arial" w:eastAsia="Arial"/>
          <w:spacing w:val="6"/>
        </w:rPr>
        <w:t> </w:t>
      </w:r>
      <w:r>
        <w:rPr/>
        <w:t>年；自第二年起，品牌使用费为人民币</w:t>
        <w:tab/>
      </w:r>
      <w:r>
        <w:rPr>
          <w:spacing w:val="20"/>
        </w:rPr>
        <w:t>元</w:t>
      </w:r>
      <w:r>
        <w:rPr>
          <w:rFonts w:ascii="Arial" w:eastAsia="Arial"/>
        </w:rPr>
        <w:t>/</w:t>
      </w:r>
      <w:r>
        <w:rPr>
          <w:rFonts w:ascii="Arial" w:eastAsia="Arial"/>
          <w:spacing w:val="6"/>
        </w:rPr>
        <w:t> </w:t>
      </w:r>
      <w:r>
        <w:rPr/>
        <w:t>月</w:t>
      </w:r>
      <w:r>
        <w:rPr>
          <w:spacing w:val="-18"/>
        </w:rPr>
        <w:t>， </w:t>
      </w:r>
      <w:r>
        <w:rPr/>
        <w:t>大写</w:t>
        <w:tab/>
      </w:r>
      <w:r>
        <w:rPr>
          <w:spacing w:val="40"/>
        </w:rPr>
        <w:t>元</w:t>
      </w:r>
      <w:r>
        <w:rPr>
          <w:rFonts w:ascii="Arial" w:eastAsia="Arial"/>
        </w:rPr>
        <w:t>/</w:t>
      </w:r>
      <w:r>
        <w:rPr>
          <w:rFonts w:ascii="Arial" w:eastAsia="Arial"/>
          <w:spacing w:val="-34"/>
        </w:rPr>
        <w:t> </w:t>
      </w:r>
      <w:r>
        <w:rPr/>
        <w:t>月，乙方应于每月</w:t>
        <w:tab/>
      </w:r>
      <w:r>
        <w:rPr>
          <w:rFonts w:ascii="Arial" w:eastAsia="Arial"/>
        </w:rPr>
        <w:t>X</w:t>
      </w:r>
      <w:r>
        <w:rPr>
          <w:rFonts w:ascii="Arial" w:eastAsia="Arial"/>
          <w:spacing w:val="-57"/>
        </w:rPr>
        <w:t> </w:t>
      </w:r>
      <w:r>
        <w:rPr/>
        <w:t>日之前汇入甲方指定账户。</w:t>
      </w:r>
    </w:p>
    <w:p>
      <w:pPr>
        <w:pStyle w:val="BodyText"/>
        <w:spacing w:before="21"/>
        <w:ind w:left="1020"/>
      </w:pPr>
      <w:r>
        <w:rPr/>
        <w:t>（三）店面保证金</w:t>
      </w:r>
    </w:p>
    <w:p>
      <w:pPr>
        <w:pStyle w:val="BodyText"/>
        <w:tabs>
          <w:tab w:pos="5739" w:val="left" w:leader="none"/>
        </w:tabs>
        <w:spacing w:line="309" w:lineRule="auto" w:before="273"/>
        <w:ind w:left="1940" w:right="1139" w:hanging="640"/>
      </w:pPr>
      <w:r>
        <w:rPr/>
        <w:t>本协议签订之日，本合同签订之日，乙方须向甲方一次性支付履约保证金元，大写</w:t>
        <w:tab/>
        <w:t>元。合同期满，乙方无违约侵权、违法违规及对</w:t>
      </w:r>
      <w:r>
        <w:rPr>
          <w:spacing w:val="-18"/>
        </w:rPr>
        <w:t>外</w:t>
      </w:r>
    </w:p>
    <w:p>
      <w:pPr>
        <w:pStyle w:val="BodyText"/>
        <w:tabs>
          <w:tab w:pos="2479" w:val="left" w:leader="none"/>
        </w:tabs>
        <w:spacing w:line="331" w:lineRule="auto" w:before="45"/>
        <w:ind w:right="1099"/>
      </w:pPr>
      <w:r>
        <w:rPr/>
        <w:t>承担责任情形且不再续约的，乙方在拆除与甲方有关的形象标识、消除店面装饰完毕之日起</w:t>
        <w:tab/>
      </w:r>
      <w:r>
        <w:rPr>
          <w:rFonts w:ascii="Arial" w:eastAsia="Arial"/>
        </w:rPr>
        <w:t>X</w:t>
      </w:r>
      <w:r>
        <w:rPr>
          <w:rFonts w:ascii="Arial" w:eastAsia="Arial"/>
          <w:spacing w:val="-37"/>
        </w:rPr>
        <w:t> </w:t>
      </w:r>
      <w:r>
        <w:rPr/>
        <w:t>年后，甲方无息退还保证金；乙方违约或商业标识不拆除的，保</w:t>
      </w:r>
      <w:r>
        <w:rPr>
          <w:spacing w:val="-18"/>
        </w:rPr>
        <w:t>证</w:t>
      </w:r>
      <w:r>
        <w:rPr/>
        <w:t>金折抵赔偿金、违约金。</w:t>
      </w:r>
    </w:p>
    <w:p>
      <w:pPr>
        <w:pStyle w:val="BodyText"/>
        <w:spacing w:line="576" w:lineRule="exact"/>
        <w:ind w:left="1020"/>
      </w:pPr>
      <w:r>
        <w:rPr/>
        <w:t>四、货品订购和货款支付</w:t>
      </w:r>
    </w:p>
    <w:p>
      <w:pPr>
        <w:pStyle w:val="BodyText"/>
        <w:spacing w:before="212"/>
        <w:ind w:left="1020"/>
      </w:pPr>
      <w:r>
        <w:rPr/>
        <w:t>（一）货品订购</w:t>
      </w:r>
    </w:p>
    <w:p>
      <w:pPr>
        <w:pStyle w:val="ListParagraph"/>
        <w:numPr>
          <w:ilvl w:val="0"/>
          <w:numId w:val="3"/>
        </w:numPr>
        <w:tabs>
          <w:tab w:pos="1480" w:val="left" w:leader="none"/>
          <w:tab w:pos="2839" w:val="left" w:leader="none"/>
          <w:tab w:pos="11819" w:val="left" w:leader="none"/>
        </w:tabs>
        <w:spacing w:line="328" w:lineRule="auto" w:before="213" w:after="0"/>
        <w:ind w:left="120" w:right="499" w:firstLine="880"/>
        <w:jc w:val="left"/>
        <w:rPr>
          <w:sz w:val="42"/>
        </w:rPr>
      </w:pPr>
      <w:r>
        <w:rPr>
          <w:sz w:val="42"/>
        </w:rPr>
        <w:t>冷热饮品设备及原材料由甲方指定品牌供应商</w:t>
        <w:tab/>
        <w:t>供应</w:t>
      </w:r>
      <w:r>
        <w:rPr>
          <w:spacing w:val="20"/>
          <w:sz w:val="42"/>
        </w:rPr>
        <w:t>，</w:t>
      </w:r>
      <w:r>
        <w:rPr>
          <w:sz w:val="42"/>
        </w:rPr>
        <w:t>乙方不得私</w:t>
      </w:r>
      <w:r>
        <w:rPr>
          <w:spacing w:val="-18"/>
          <w:sz w:val="42"/>
        </w:rPr>
        <w:t>自</w:t>
      </w:r>
      <w:r>
        <w:rPr>
          <w:sz w:val="42"/>
        </w:rPr>
        <w:t>采购或更换品牌供应商。若乙方违反此项规定，经总部查实，给予严重警告并处    以罚款</w:t>
        <w:tab/>
        <w:t>元整，乙方连续两次违反此项规定的，甲方有权单方面解除加盟合 同。</w:t>
      </w:r>
    </w:p>
    <w:p>
      <w:pPr>
        <w:pStyle w:val="ListParagraph"/>
        <w:numPr>
          <w:ilvl w:val="0"/>
          <w:numId w:val="3"/>
        </w:numPr>
        <w:tabs>
          <w:tab w:pos="1480" w:val="left" w:leader="none"/>
        </w:tabs>
        <w:spacing w:line="326" w:lineRule="auto" w:before="1" w:after="0"/>
        <w:ind w:left="120" w:right="1199" w:firstLine="880"/>
        <w:jc w:val="both"/>
        <w:rPr>
          <w:sz w:val="42"/>
        </w:rPr>
      </w:pPr>
      <w:r>
        <w:rPr>
          <w:spacing w:val="-1"/>
          <w:sz w:val="42"/>
        </w:rPr>
        <w:t>乙方订购的其他货品由甲方负责提供；乙方根据货品销售和使用情况，可</w:t>
      </w:r>
      <w:r>
        <w:rPr>
          <w:sz w:val="42"/>
        </w:rPr>
        <w:t>向甲方申请对货品配送作适当地调整。货品订购内容以实际配送清单为准。乙方需根据店内的库存情况，应及时做好订货准备。</w:t>
      </w:r>
    </w:p>
    <w:p>
      <w:pPr>
        <w:spacing w:after="0" w:line="326" w:lineRule="auto"/>
        <w:jc w:val="both"/>
        <w:rPr>
          <w:sz w:val="42"/>
        </w:rPr>
        <w:sectPr>
          <w:pgSz w:w="19120" w:h="27080"/>
          <w:pgMar w:top="2540" w:bottom="280" w:left="1600" w:right="1400"/>
        </w:sectPr>
      </w:pPr>
    </w:p>
    <w:p>
      <w:pPr>
        <w:pStyle w:val="BodyText"/>
        <w:tabs>
          <w:tab w:pos="7159" w:val="left" w:leader="none"/>
          <w:tab w:pos="12419" w:val="left" w:leader="none"/>
        </w:tabs>
        <w:spacing w:line="336" w:lineRule="auto" w:before="20"/>
        <w:ind w:right="339" w:firstLine="880"/>
      </w:pPr>
      <w:r>
        <w:rPr/>
        <w:t>甲方所提供的货品，</w:t>
      </w:r>
      <w:r>
        <w:rPr>
          <w:spacing w:val="30"/>
        </w:rPr>
        <w:t> </w:t>
      </w:r>
      <w:r>
        <w:rPr/>
        <w:t>乙方应在到货后认真核对数量和质量，</w:t>
        <w:tab/>
        <w:t>确认无误后签收</w:t>
      </w:r>
      <w:r>
        <w:rPr>
          <w:spacing w:val="-18"/>
        </w:rPr>
        <w:t>。</w:t>
      </w:r>
      <w:r>
        <w:rPr/>
        <w:t>乙方在签收后发生的任何货品问题，</w:t>
        <w:tab/>
        <w:t>均由乙方自行承担。</w:t>
      </w:r>
      <w:r>
        <w:rPr>
          <w:spacing w:val="30"/>
        </w:rPr>
        <w:t> </w:t>
      </w:r>
      <w:r>
        <w:rPr/>
        <w:t>货品运费由收乙方承担。</w:t>
      </w:r>
    </w:p>
    <w:p>
      <w:pPr>
        <w:pStyle w:val="BodyText"/>
        <w:spacing w:line="583" w:lineRule="exact"/>
        <w:ind w:left="1020"/>
      </w:pPr>
      <w:r>
        <w:rPr/>
        <w:t>（二）货款支付</w:t>
      </w:r>
    </w:p>
    <w:p>
      <w:pPr>
        <w:pStyle w:val="BodyText"/>
        <w:tabs>
          <w:tab w:pos="6859" w:val="left" w:leader="none"/>
          <w:tab w:pos="9079" w:val="left" w:leader="none"/>
          <w:tab w:pos="12659" w:val="left" w:leader="none"/>
          <w:tab w:pos="14919" w:val="left" w:leader="none"/>
        </w:tabs>
        <w:spacing w:line="331" w:lineRule="auto" w:before="192"/>
        <w:ind w:right="359" w:firstLine="880"/>
      </w:pPr>
      <w:r>
        <w:rPr/>
        <w:drawing>
          <wp:anchor distT="0" distB="0" distL="0" distR="0" allowOverlap="1" layoutInCell="1" locked="0" behindDoc="1" simplePos="0" relativeHeight="487437824">
            <wp:simplePos x="0" y="0"/>
            <wp:positionH relativeFrom="page">
              <wp:posOffset>1089333</wp:posOffset>
            </wp:positionH>
            <wp:positionV relativeFrom="paragraph">
              <wp:posOffset>437419</wp:posOffset>
            </wp:positionV>
            <wp:extent cx="9955999" cy="11653333"/>
            <wp:effectExtent l="0" t="0" r="0" b="0"/>
            <wp:wrapNone/>
            <wp:docPr id="7" name="image5.png"/>
            <wp:cNvGraphicFramePr>
              <a:graphicFrameLocks noChangeAspect="1"/>
            </wp:cNvGraphicFramePr>
            <a:graphic>
              <a:graphicData uri="http://schemas.openxmlformats.org/drawingml/2006/picture">
                <pic:pic>
                  <pic:nvPicPr>
                    <pic:cNvPr id="8" name="image5.png"/>
                    <pic:cNvPicPr/>
                  </pic:nvPicPr>
                  <pic:blipFill>
                    <a:blip r:embed="rId9" cstate="print"/>
                    <a:stretch>
                      <a:fillRect/>
                    </a:stretch>
                  </pic:blipFill>
                  <pic:spPr>
                    <a:xfrm>
                      <a:off x="0" y="0"/>
                      <a:ext cx="9955999" cy="11653333"/>
                    </a:xfrm>
                    <a:prstGeom prst="rect">
                      <a:avLst/>
                    </a:prstGeom>
                  </pic:spPr>
                </pic:pic>
              </a:graphicData>
            </a:graphic>
          </wp:anchor>
        </w:drawing>
      </w:r>
      <w:r>
        <w:rPr/>
        <w:t>乙方应在向甲方订货后</w:t>
        <w:tab/>
        <w:t>内将货款打入甲方指定账户，</w:t>
        <w:tab/>
        <w:t>货款以实际金额为准，不许抹零。甲方确认收到货款后</w:t>
        <w:tab/>
        <w:t>内安排发货。乙方订货</w:t>
        <w:tab/>
        <w:t>内</w:t>
      </w:r>
      <w:r>
        <w:rPr>
          <w:spacing w:val="-18"/>
        </w:rPr>
        <w:t>未</w:t>
      </w:r>
      <w:r>
        <w:rPr/>
        <w:t>支付货款的，该笔订单无效，乙方需在下次订货日重新订货。</w:t>
      </w:r>
    </w:p>
    <w:p>
      <w:pPr>
        <w:pStyle w:val="BodyText"/>
        <w:spacing w:line="576" w:lineRule="exact"/>
        <w:ind w:left="1000"/>
      </w:pPr>
      <w:r>
        <w:rPr/>
        <w:t>五、店面装修和开业准备</w:t>
      </w:r>
    </w:p>
    <w:p>
      <w:pPr>
        <w:pStyle w:val="BodyText"/>
        <w:spacing w:before="213"/>
        <w:ind w:left="1000"/>
      </w:pPr>
      <w:r>
        <w:rPr/>
        <w:t>（一）店面装修</w:t>
      </w:r>
    </w:p>
    <w:p>
      <w:pPr>
        <w:pStyle w:val="ListParagraph"/>
        <w:numPr>
          <w:ilvl w:val="0"/>
          <w:numId w:val="4"/>
        </w:numPr>
        <w:tabs>
          <w:tab w:pos="1460" w:val="left" w:leader="none"/>
          <w:tab w:pos="11759" w:val="left" w:leader="none"/>
        </w:tabs>
        <w:spacing w:line="328" w:lineRule="auto" w:before="233" w:after="0"/>
        <w:ind w:left="120" w:right="579" w:firstLine="880"/>
        <w:jc w:val="left"/>
        <w:rPr>
          <w:sz w:val="42"/>
        </w:rPr>
      </w:pPr>
      <w:r>
        <w:rPr>
          <w:sz w:val="42"/>
        </w:rPr>
        <w:t>乙方负责开业前店面的改造、装饰、装修，装修应符合甲方设计图纸的要   求和验收标准，经甲方验收合格后方可开业，费用由乙方承担。甲方负责协助乙   方选定具备三级以上资质的装修公司进行店面的装修装饰。</w:t>
        <w:tab/>
        <w:t>因乙方不同意甲方</w:t>
      </w:r>
      <w:r>
        <w:rPr>
          <w:spacing w:val="-18"/>
          <w:sz w:val="42"/>
        </w:rPr>
        <w:t>建</w:t>
      </w:r>
      <w:r>
        <w:rPr>
          <w:sz w:val="42"/>
        </w:rPr>
        <w:t>议，选任公司不符合三级资质或者装修发生质量问题造成甲方损失的，乙方应当   赔偿。</w:t>
      </w:r>
    </w:p>
    <w:p>
      <w:pPr>
        <w:pStyle w:val="ListParagraph"/>
        <w:numPr>
          <w:ilvl w:val="0"/>
          <w:numId w:val="4"/>
        </w:numPr>
        <w:tabs>
          <w:tab w:pos="1460" w:val="left" w:leader="none"/>
        </w:tabs>
        <w:spacing w:line="412" w:lineRule="auto" w:before="16" w:after="0"/>
        <w:ind w:left="120" w:right="1219" w:firstLine="880"/>
        <w:jc w:val="both"/>
        <w:rPr>
          <w:sz w:val="42"/>
        </w:rPr>
      </w:pPr>
      <w:r>
        <w:rPr>
          <w:spacing w:val="-1"/>
          <w:sz w:val="42"/>
        </w:rPr>
        <w:t>乙方后期进行改扩建装修工程、翻新装修工程的，必须向甲方提出书面申</w:t>
      </w:r>
      <w:r>
        <w:rPr>
          <w:sz w:val="42"/>
        </w:rPr>
        <w:t>请，由甲方统一进行图纸设计和施工监理。乙方选定符合甲方施工要求的装修公司进行施工并承担装修费用。</w:t>
      </w:r>
    </w:p>
    <w:p>
      <w:pPr>
        <w:pStyle w:val="BodyText"/>
        <w:spacing w:line="537" w:lineRule="exact"/>
        <w:ind w:left="1000"/>
      </w:pPr>
      <w:r>
        <w:rPr/>
        <w:t>（二）开业准备</w:t>
      </w:r>
    </w:p>
    <w:p>
      <w:pPr>
        <w:pStyle w:val="ListParagraph"/>
        <w:numPr>
          <w:ilvl w:val="0"/>
          <w:numId w:val="5"/>
        </w:numPr>
        <w:tabs>
          <w:tab w:pos="1480" w:val="left" w:leader="none"/>
        </w:tabs>
        <w:spacing w:line="326" w:lineRule="auto" w:before="233" w:after="0"/>
        <w:ind w:left="120" w:right="1199" w:firstLine="880"/>
        <w:jc w:val="both"/>
        <w:rPr>
          <w:sz w:val="42"/>
        </w:rPr>
      </w:pPr>
      <w:r>
        <w:rPr>
          <w:spacing w:val="-1"/>
          <w:sz w:val="42"/>
        </w:rPr>
        <w:t>资格证照要求。乙方自行负责办理店面营业执照、税务登记等相关证件， </w:t>
      </w:r>
      <w:r>
        <w:rPr>
          <w:sz w:val="42"/>
        </w:rPr>
        <w:t>取得《消防许可证》、《环保许可证》、《食品卫生区可证》等相关证照，保证加盟店符合法律、法规经营资质要求方可开业。甲方负责对乙方进行营建指导，</w:t>
      </w:r>
    </w:p>
    <w:p>
      <w:pPr>
        <w:pStyle w:val="BodyText"/>
        <w:spacing w:line="326" w:lineRule="auto" w:before="24"/>
        <w:ind w:right="179"/>
        <w:jc w:val="both"/>
      </w:pPr>
      <w:r>
        <w:rPr/>
        <w:t>提供加盟店统一的装修风格、 施工图纸和施工工艺， 但不负责消防、 建管、城管、安监等执法部门需要的验收资质等相关手续。</w:t>
      </w:r>
    </w:p>
    <w:p>
      <w:pPr>
        <w:pStyle w:val="ListParagraph"/>
        <w:numPr>
          <w:ilvl w:val="0"/>
          <w:numId w:val="5"/>
        </w:numPr>
        <w:tabs>
          <w:tab w:pos="1460" w:val="left" w:leader="none"/>
        </w:tabs>
        <w:spacing w:line="570" w:lineRule="exact" w:before="0" w:after="0"/>
        <w:ind w:left="1460" w:right="0" w:hanging="460"/>
        <w:jc w:val="both"/>
        <w:rPr>
          <w:sz w:val="42"/>
        </w:rPr>
      </w:pPr>
      <w:r>
        <w:rPr>
          <w:sz w:val="42"/>
        </w:rPr>
        <w:t>员工招聘与培训。店面开业前乙方应按照甲方要求的标准进行员工招聘，</w:t>
      </w:r>
    </w:p>
    <w:p>
      <w:pPr>
        <w:pStyle w:val="BodyText"/>
        <w:spacing w:line="326" w:lineRule="auto" w:before="232"/>
        <w:ind w:right="1299"/>
        <w:jc w:val="both"/>
      </w:pPr>
      <w:r>
        <w:rPr/>
        <w:t>并达到甲方要求的标准员工人数，未达到标准人数的不得开业。乙方应按照甲方提供的培训方案进行员工培训，员工经甲方考核合格后方可上岗。期间，甲方负责协助乙方做好培训工作。</w:t>
      </w:r>
    </w:p>
    <w:p>
      <w:pPr>
        <w:spacing w:after="0" w:line="326" w:lineRule="auto"/>
        <w:jc w:val="both"/>
        <w:sectPr>
          <w:pgSz w:w="19120" w:h="27080"/>
          <w:pgMar w:top="2540" w:bottom="280" w:left="1600" w:right="1400"/>
        </w:sectPr>
      </w:pPr>
    </w:p>
    <w:p>
      <w:pPr>
        <w:pStyle w:val="BodyText"/>
        <w:spacing w:before="7"/>
        <w:ind w:left="0"/>
        <w:rPr>
          <w:sz w:val="8"/>
        </w:rPr>
      </w:pPr>
    </w:p>
    <w:p>
      <w:pPr>
        <w:pStyle w:val="ListParagraph"/>
        <w:numPr>
          <w:ilvl w:val="0"/>
          <w:numId w:val="5"/>
        </w:numPr>
        <w:tabs>
          <w:tab w:pos="1460" w:val="left" w:leader="none"/>
          <w:tab w:pos="14119" w:val="left" w:leader="none"/>
        </w:tabs>
        <w:spacing w:line="336" w:lineRule="auto" w:before="61" w:after="0"/>
        <w:ind w:left="120" w:right="399" w:firstLine="880"/>
        <w:jc w:val="left"/>
        <w:rPr>
          <w:sz w:val="42"/>
        </w:rPr>
      </w:pPr>
      <w:r>
        <w:rPr/>
        <w:drawing>
          <wp:anchor distT="0" distB="0" distL="0" distR="0" allowOverlap="1" layoutInCell="1" locked="0" behindDoc="1" simplePos="0" relativeHeight="487438336">
            <wp:simplePos x="0" y="0"/>
            <wp:positionH relativeFrom="page">
              <wp:posOffset>1089333</wp:posOffset>
            </wp:positionH>
            <wp:positionV relativeFrom="paragraph">
              <wp:posOffset>-72398</wp:posOffset>
            </wp:positionV>
            <wp:extent cx="9955999" cy="6612000"/>
            <wp:effectExtent l="0" t="0" r="0" b="0"/>
            <wp:wrapNone/>
            <wp:docPr id="9" name="image6.png"/>
            <wp:cNvGraphicFramePr>
              <a:graphicFrameLocks noChangeAspect="1"/>
            </wp:cNvGraphicFramePr>
            <a:graphic>
              <a:graphicData uri="http://schemas.openxmlformats.org/drawingml/2006/picture">
                <pic:pic>
                  <pic:nvPicPr>
                    <pic:cNvPr id="10" name="image6.png"/>
                    <pic:cNvPicPr/>
                  </pic:nvPicPr>
                  <pic:blipFill>
                    <a:blip r:embed="rId10" cstate="print"/>
                    <a:stretch>
                      <a:fillRect/>
                    </a:stretch>
                  </pic:blipFill>
                  <pic:spPr>
                    <a:xfrm>
                      <a:off x="0" y="0"/>
                      <a:ext cx="9955999" cy="6612000"/>
                    </a:xfrm>
                    <a:prstGeom prst="rect">
                      <a:avLst/>
                    </a:prstGeom>
                  </pic:spPr>
                </pic:pic>
              </a:graphicData>
            </a:graphic>
          </wp:anchor>
        </w:drawing>
      </w:r>
      <w:r>
        <w:rPr>
          <w:sz w:val="42"/>
        </w:rPr>
        <w:t>自采供应商的选择。乙方应严格按照甲方的自采标准，在配货前</w:t>
        <w:tab/>
      </w:r>
      <w:r>
        <w:rPr>
          <w:rFonts w:ascii="Arial" w:eastAsia="Arial"/>
          <w:sz w:val="42"/>
        </w:rPr>
        <w:t>3</w:t>
      </w:r>
      <w:r>
        <w:rPr>
          <w:rFonts w:ascii="Arial" w:eastAsia="Arial"/>
          <w:spacing w:val="-11"/>
          <w:sz w:val="42"/>
        </w:rPr>
        <w:t> </w:t>
      </w:r>
      <w:r>
        <w:rPr>
          <w:sz w:val="42"/>
        </w:rPr>
        <w:t>日进</w:t>
      </w:r>
      <w:r>
        <w:rPr>
          <w:spacing w:val="-18"/>
          <w:sz w:val="42"/>
        </w:rPr>
        <w:t>行</w:t>
      </w:r>
      <w:r>
        <w:rPr>
          <w:sz w:val="42"/>
        </w:rPr>
        <w:t>供应商预选，并将自采供应商信息和产品质量情况以书面的形式告知甲方，由甲</w:t>
      </w:r>
    </w:p>
    <w:p>
      <w:pPr>
        <w:pStyle w:val="BodyText"/>
        <w:spacing w:line="583" w:lineRule="exact"/>
      </w:pPr>
      <w:r>
        <w:rPr/>
        <w:t>方确认是否达到自采标准。未达到标准的，甲方有权要求乙方更换供应商。</w:t>
      </w:r>
    </w:p>
    <w:p>
      <w:pPr>
        <w:pStyle w:val="ListParagraph"/>
        <w:numPr>
          <w:ilvl w:val="0"/>
          <w:numId w:val="5"/>
        </w:numPr>
        <w:tabs>
          <w:tab w:pos="1460" w:val="left" w:leader="none"/>
        </w:tabs>
        <w:spacing w:line="328" w:lineRule="auto" w:before="192" w:after="0"/>
        <w:ind w:left="120" w:right="1219" w:firstLine="880"/>
        <w:jc w:val="both"/>
        <w:rPr>
          <w:sz w:val="42"/>
        </w:rPr>
      </w:pPr>
      <w:r>
        <w:rPr>
          <w:spacing w:val="-1"/>
          <w:sz w:val="42"/>
        </w:rPr>
        <w:t>开业时间和方案的确定。乙方在甲方对店面装修验收合格、员工招聘和培</w:t>
      </w:r>
      <w:r>
        <w:rPr>
          <w:sz w:val="42"/>
        </w:rPr>
        <w:t>训完毕、自采供应商已确定的情况下，方可与甲方充分沟通确定试营业和开业时间。甲方拥有对试营业时间、开业时间和开业方案的最终决定权，乙方对试营业时间、开业时间和开业方案有建议权。</w:t>
      </w:r>
    </w:p>
    <w:p>
      <w:pPr>
        <w:pStyle w:val="ListParagraph"/>
        <w:numPr>
          <w:ilvl w:val="0"/>
          <w:numId w:val="5"/>
        </w:numPr>
        <w:tabs>
          <w:tab w:pos="1460" w:val="left" w:leader="none"/>
        </w:tabs>
        <w:spacing w:line="336" w:lineRule="auto" w:before="2" w:after="0"/>
        <w:ind w:left="120" w:right="1219" w:firstLine="880"/>
        <w:jc w:val="both"/>
        <w:rPr>
          <w:sz w:val="42"/>
        </w:rPr>
      </w:pPr>
      <w:r>
        <w:rPr>
          <w:spacing w:val="-1"/>
          <w:sz w:val="42"/>
        </w:rPr>
        <w:t>乙方开店所需收银机和收银系统由甲方统一配送，甲方需在乙方开业前， </w:t>
      </w:r>
      <w:r>
        <w:rPr>
          <w:sz w:val="42"/>
        </w:rPr>
        <w:t>将收银机和收银系统调试并安装好。</w:t>
      </w:r>
    </w:p>
    <w:p>
      <w:pPr>
        <w:pStyle w:val="ListParagraph"/>
        <w:numPr>
          <w:ilvl w:val="0"/>
          <w:numId w:val="5"/>
        </w:numPr>
        <w:tabs>
          <w:tab w:pos="1460" w:val="left" w:leader="none"/>
        </w:tabs>
        <w:spacing w:line="563" w:lineRule="exact" w:before="0" w:after="0"/>
        <w:ind w:left="1460" w:right="0" w:hanging="460"/>
        <w:jc w:val="both"/>
        <w:rPr>
          <w:sz w:val="42"/>
        </w:rPr>
      </w:pPr>
      <w:r>
        <w:rPr>
          <w:sz w:val="42"/>
        </w:rPr>
        <w:t>乙方店面所安装的监控设备必须遵守甲方限定的品牌、型号，并严格按照</w:t>
      </w:r>
    </w:p>
    <w:p>
      <w:pPr>
        <w:pStyle w:val="BodyText"/>
        <w:spacing w:before="192"/>
      </w:pPr>
      <w:r>
        <w:rPr/>
        <w:t>甲方指定的监控落位图及施工要求进行安装。</w:t>
      </w:r>
    </w:p>
    <w:p>
      <w:pPr>
        <w:pStyle w:val="ListParagraph"/>
        <w:numPr>
          <w:ilvl w:val="0"/>
          <w:numId w:val="5"/>
        </w:numPr>
        <w:tabs>
          <w:tab w:pos="1460" w:val="left" w:leader="none"/>
        </w:tabs>
        <w:spacing w:line="336" w:lineRule="auto" w:before="233" w:after="0"/>
        <w:ind w:left="120" w:right="1219" w:firstLine="880"/>
        <w:jc w:val="left"/>
        <w:rPr>
          <w:sz w:val="42"/>
        </w:rPr>
      </w:pPr>
      <w:r>
        <w:rPr>
          <w:spacing w:val="-1"/>
          <w:sz w:val="42"/>
        </w:rPr>
        <w:t>甲方应对乙方目标市场的考察调研、加盟店的选址、营业地的装修布置、</w:t>
      </w:r>
      <w:r>
        <w:rPr>
          <w:sz w:val="42"/>
        </w:rPr>
        <w:t>人员的聘任等加盟店筹备工作提供必要的协助和指导。</w:t>
      </w:r>
    </w:p>
    <w:p>
      <w:pPr>
        <w:pStyle w:val="BodyText"/>
        <w:spacing w:line="563" w:lineRule="exact"/>
        <w:ind w:left="1020"/>
      </w:pPr>
      <w:r>
        <w:rPr/>
        <w:t>六、加盟店统一运营</w:t>
      </w:r>
    </w:p>
    <w:p>
      <w:pPr>
        <w:pStyle w:val="BodyText"/>
        <w:spacing w:line="328" w:lineRule="auto" w:before="213"/>
        <w:ind w:right="1259" w:firstLine="880"/>
        <w:jc w:val="both"/>
      </w:pPr>
      <w:r>
        <w:rPr/>
        <w:t>（一）乙方认可并同意遵守甲方特许经营体系有关标准和统一性规定。乙方在加盟店运营过程中，须严格遵守本合同约定和《经营手册》规定的统一运营标准，按甲方确定的销售模式和销售定价进行日常经营，未经甲方书面许可，不得作任何变更。</w:t>
      </w:r>
    </w:p>
    <w:p>
      <w:pPr>
        <w:pStyle w:val="BodyText"/>
        <w:spacing w:line="331" w:lineRule="auto" w:before="1"/>
        <w:ind w:right="1259" w:firstLine="880"/>
        <w:jc w:val="both"/>
      </w:pPr>
      <w:r>
        <w:rPr/>
        <w:t>（二）乙方承诺自觉维护甲方品牌与加盟体系形象，管控产品品质，提升服务质量，妥善解决客户投诉，积极开拓市场，与甲方共同努力优化、完善体系运营，提升品牌价值。</w:t>
      </w:r>
    </w:p>
    <w:p>
      <w:pPr>
        <w:pStyle w:val="BodyText"/>
        <w:spacing w:line="576" w:lineRule="exact"/>
        <w:ind w:left="1020"/>
      </w:pPr>
      <w:r>
        <w:rPr/>
        <w:t>七、监督指导</w:t>
      </w:r>
    </w:p>
    <w:p>
      <w:pPr>
        <w:pStyle w:val="BodyText"/>
        <w:spacing w:line="326" w:lineRule="auto" w:before="213"/>
        <w:ind w:right="1259" w:firstLine="880"/>
        <w:jc w:val="both"/>
      </w:pPr>
      <w:r>
        <w:rPr/>
        <w:t>（一）为确保特许经营体系的统一性和产品、服务质量的一致性，甲方有权按照合同约定对乙方经营状况、产品质量、服务水平、卫生状况、形象建设等经营活动进行辅导、检查、监督、考核。乙方应当遵循甲方或其委派督导人员的指导和建议。</w:t>
      </w:r>
    </w:p>
    <w:p>
      <w:pPr>
        <w:spacing w:after="0" w:line="326" w:lineRule="auto"/>
        <w:jc w:val="both"/>
        <w:sectPr>
          <w:pgSz w:w="19120" w:h="27080"/>
          <w:pgMar w:top="2380" w:bottom="280" w:left="1600" w:right="1400"/>
        </w:sectPr>
      </w:pPr>
    </w:p>
    <w:p>
      <w:pPr>
        <w:pStyle w:val="BodyText"/>
        <w:spacing w:line="336" w:lineRule="auto" w:before="20"/>
        <w:ind w:right="1259" w:firstLine="880"/>
      </w:pPr>
      <w:r>
        <w:rPr/>
        <w:t>（二）乙方应遵守甲方统一制定的生产流程及卫生管理要求，必须使用甲方提供的工艺技术标准及指定原料、配料，并按比例进行生产，以保证产品质量。</w:t>
      </w:r>
    </w:p>
    <w:p>
      <w:pPr>
        <w:pStyle w:val="BodyText"/>
        <w:tabs>
          <w:tab w:pos="4639" w:val="left" w:leader="none"/>
          <w:tab w:pos="11339" w:val="left" w:leader="none"/>
          <w:tab w:pos="14919" w:val="left" w:leader="none"/>
        </w:tabs>
        <w:spacing w:line="324" w:lineRule="auto"/>
        <w:ind w:right="359"/>
      </w:pPr>
      <w:r>
        <w:rPr/>
        <w:drawing>
          <wp:anchor distT="0" distB="0" distL="0" distR="0" allowOverlap="1" layoutInCell="1" locked="0" behindDoc="1" simplePos="0" relativeHeight="487438848">
            <wp:simplePos x="0" y="0"/>
            <wp:positionH relativeFrom="page">
              <wp:posOffset>1089333</wp:posOffset>
            </wp:positionH>
            <wp:positionV relativeFrom="paragraph">
              <wp:posOffset>810799</wp:posOffset>
            </wp:positionV>
            <wp:extent cx="9955999" cy="10336000"/>
            <wp:effectExtent l="0" t="0" r="0" b="0"/>
            <wp:wrapNone/>
            <wp:docPr id="11" name="image7.png"/>
            <wp:cNvGraphicFramePr>
              <a:graphicFrameLocks noChangeAspect="1"/>
            </wp:cNvGraphicFramePr>
            <a:graphic>
              <a:graphicData uri="http://schemas.openxmlformats.org/drawingml/2006/picture">
                <pic:pic>
                  <pic:nvPicPr>
                    <pic:cNvPr id="12" name="image7.png"/>
                    <pic:cNvPicPr/>
                  </pic:nvPicPr>
                  <pic:blipFill>
                    <a:blip r:embed="rId11" cstate="print"/>
                    <a:stretch>
                      <a:fillRect/>
                    </a:stretch>
                  </pic:blipFill>
                  <pic:spPr>
                    <a:xfrm>
                      <a:off x="0" y="0"/>
                      <a:ext cx="9955999" cy="10336000"/>
                    </a:xfrm>
                    <a:prstGeom prst="rect">
                      <a:avLst/>
                    </a:prstGeom>
                  </pic:spPr>
                </pic:pic>
              </a:graphicData>
            </a:graphic>
          </wp:anchor>
        </w:drawing>
      </w:r>
      <w:r>
        <w:rPr/>
        <w:t>如发现乙方工艺与甲方工艺不符或私自销售其它物品以及产品过期等情况，</w:t>
        <w:tab/>
        <w:t>甲</w:t>
      </w:r>
      <w:r>
        <w:rPr>
          <w:spacing w:val="-18"/>
        </w:rPr>
        <w:t>方</w:t>
      </w:r>
      <w:r>
        <w:rPr/>
        <w:t>有权责令乙方停止生产及销售，并处以人民币</w:t>
        <w:tab/>
        <w:t>元经济处罚，乙方应在接到处罚通知后</w:t>
        <w:tab/>
        <w:t>日内将罚款汇入甲方指定账户。</w:t>
      </w:r>
    </w:p>
    <w:p>
      <w:pPr>
        <w:pStyle w:val="BodyText"/>
        <w:tabs>
          <w:tab w:pos="10959" w:val="left" w:leader="none"/>
        </w:tabs>
        <w:spacing w:line="326" w:lineRule="auto" w:before="16"/>
        <w:ind w:right="619" w:firstLine="880"/>
      </w:pPr>
      <w:r>
        <w:rPr/>
        <w:t>（三）乙方应保持完整、准确的交易记录，在每月</w:t>
        <w:tab/>
      </w:r>
      <w:r>
        <w:rPr>
          <w:rFonts w:ascii="Arial" w:eastAsia="Arial"/>
        </w:rPr>
        <w:t>5</w:t>
      </w:r>
      <w:r>
        <w:rPr>
          <w:rFonts w:ascii="Arial" w:eastAsia="Arial"/>
          <w:spacing w:val="-11"/>
        </w:rPr>
        <w:t> </w:t>
      </w:r>
      <w:r>
        <w:rPr/>
        <w:t>日前向甲方递交上月</w:t>
      </w:r>
      <w:r>
        <w:rPr>
          <w:spacing w:val="-18"/>
        </w:rPr>
        <w:t>财</w:t>
      </w:r>
      <w:r>
        <w:rPr/>
        <w:t>会报表、供销售月报表、库存盘点表并保证报表的及时、准确和完整。甲方有权   定期不定期检查、审核乙方交易记录文件。</w:t>
      </w:r>
    </w:p>
    <w:p>
      <w:pPr>
        <w:pStyle w:val="BodyText"/>
        <w:spacing w:line="326" w:lineRule="auto" w:before="24"/>
        <w:ind w:right="1259" w:firstLine="880"/>
      </w:pPr>
      <w:r>
        <w:rPr/>
        <w:t>（四）合同有效期内，甲方应对加盟店提供必要的营销、服务或技术方面的指导，并向加盟店提供必要协助。</w:t>
      </w:r>
    </w:p>
    <w:p>
      <w:pPr>
        <w:pStyle w:val="BodyText"/>
        <w:spacing w:line="570" w:lineRule="exact"/>
        <w:ind w:left="1000"/>
      </w:pPr>
      <w:r>
        <w:rPr/>
        <w:t>八、对乙方的特别要求</w:t>
      </w:r>
    </w:p>
    <w:p>
      <w:pPr>
        <w:pStyle w:val="BodyText"/>
        <w:spacing w:line="336" w:lineRule="auto" w:before="233"/>
        <w:ind w:right="1259" w:firstLine="880"/>
      </w:pPr>
      <w:r>
        <w:rPr/>
        <w:t>（一）未经甲方书面同意，乙方不得擅自将合同转让第三方，私自转让的视为未转让；</w:t>
      </w:r>
    </w:p>
    <w:p>
      <w:pPr>
        <w:pStyle w:val="BodyText"/>
        <w:spacing w:line="563" w:lineRule="exact"/>
        <w:ind w:left="1000"/>
      </w:pPr>
      <w:r>
        <w:rPr/>
        <w:t>（二）未经甲方书面同意，乙方不得擅自更换店址，或将店面转让、出租他</w:t>
      </w:r>
    </w:p>
    <w:p>
      <w:pPr>
        <w:pStyle w:val="BodyText"/>
        <w:spacing w:before="212"/>
      </w:pPr>
      <w:r>
        <w:rPr/>
        <w:t>人使用，造成甲方损失的，甲方有权要求赔偿；</w:t>
      </w:r>
    </w:p>
    <w:p>
      <w:pPr>
        <w:pStyle w:val="BodyText"/>
        <w:spacing w:before="213"/>
        <w:ind w:left="1000"/>
      </w:pPr>
      <w:r>
        <w:rPr/>
        <w:t>（三）未经甲方书面同意，乙方不得擅自更换经营者，允许第三方合伙、入</w:t>
      </w:r>
    </w:p>
    <w:p>
      <w:pPr>
        <w:pStyle w:val="BodyText"/>
        <w:spacing w:before="10"/>
        <w:ind w:left="0"/>
        <w:rPr>
          <w:sz w:val="13"/>
        </w:rPr>
      </w:pPr>
    </w:p>
    <w:p>
      <w:pPr>
        <w:pStyle w:val="BodyText"/>
        <w:spacing w:before="41"/>
      </w:pPr>
      <w:r>
        <w:rPr/>
        <w:t>股；</w:t>
      </w:r>
    </w:p>
    <w:p>
      <w:pPr>
        <w:pStyle w:val="BodyText"/>
        <w:tabs>
          <w:tab w:pos="13779" w:val="left" w:leader="none"/>
        </w:tabs>
        <w:spacing w:before="213"/>
        <w:ind w:left="1000"/>
      </w:pPr>
      <w:r>
        <w:rPr/>
        <w:t>（四</w:t>
      </w:r>
      <w:r>
        <w:rPr>
          <w:spacing w:val="20"/>
        </w:rPr>
        <w:t>）</w:t>
      </w:r>
      <w:r>
        <w:rPr/>
        <w:t>未经甲方书面同意，</w:t>
      </w:r>
      <w:r>
        <w:rPr>
          <w:spacing w:val="50"/>
        </w:rPr>
        <w:t> </w:t>
      </w:r>
      <w:r>
        <w:rPr/>
        <w:t>乙方不得脱离加盟体系擅自追加建店，</w:t>
        <w:tab/>
        <w:t>逃避规费；</w:t>
      </w:r>
    </w:p>
    <w:p>
      <w:pPr>
        <w:pStyle w:val="BodyText"/>
        <w:tabs>
          <w:tab w:pos="11993" w:val="left" w:leader="none"/>
          <w:tab w:pos="12879" w:val="left" w:leader="none"/>
        </w:tabs>
        <w:spacing w:before="212"/>
        <w:ind w:left="1000"/>
      </w:pPr>
      <w:r>
        <w:rPr/>
        <w:t>（五）乙方开办的加盟店发生其他重大变动时，必须在</w:t>
        <w:tab/>
      </w:r>
      <w:r>
        <w:rPr>
          <w:rFonts w:ascii="Arial" w:eastAsia="Arial"/>
        </w:rPr>
        <w:t>X</w:t>
        <w:tab/>
      </w:r>
      <w:r>
        <w:rPr/>
        <w:t>日内通知甲方。</w:t>
      </w:r>
    </w:p>
    <w:p>
      <w:pPr>
        <w:pStyle w:val="BodyText"/>
        <w:spacing w:before="213"/>
        <w:ind w:left="1000"/>
      </w:pPr>
      <w:r>
        <w:rPr/>
        <w:t>（六）乙方应当专心经营连锁加盟项目，合同有效期内禁止乙方在加盟店内</w:t>
      </w:r>
    </w:p>
    <w:p>
      <w:pPr>
        <w:pStyle w:val="BodyText"/>
        <w:spacing w:before="10"/>
        <w:ind w:left="0"/>
        <w:rPr>
          <w:sz w:val="13"/>
        </w:rPr>
      </w:pPr>
    </w:p>
    <w:p>
      <w:pPr>
        <w:pStyle w:val="BodyText"/>
        <w:spacing w:before="41"/>
      </w:pPr>
      <w:r>
        <w:rPr/>
        <w:t>经营、销售非甲方产品，禁止在授权加盟店外进行同业竞争。</w:t>
      </w:r>
    </w:p>
    <w:p>
      <w:pPr>
        <w:pStyle w:val="BodyText"/>
        <w:ind w:left="0"/>
        <w:rPr>
          <w:sz w:val="48"/>
        </w:rPr>
      </w:pPr>
    </w:p>
    <w:p>
      <w:pPr>
        <w:pStyle w:val="BodyText"/>
        <w:spacing w:before="341"/>
        <w:ind w:left="1020"/>
      </w:pPr>
      <w:r>
        <w:rPr/>
        <w:t>九、甲方的权利和义务</w:t>
      </w:r>
    </w:p>
    <w:p>
      <w:pPr>
        <w:pStyle w:val="BodyText"/>
        <w:tabs>
          <w:tab w:pos="6839" w:val="left" w:leader="none"/>
        </w:tabs>
        <w:spacing w:line="326" w:lineRule="auto" w:before="413"/>
        <w:ind w:right="879" w:firstLine="880"/>
      </w:pPr>
      <w:r>
        <w:rPr/>
        <w:t>（一）甲方与乙方共享</w:t>
        <w:tab/>
        <w:t>企业文化、产品广告的宣传，并在宣传资料</w:t>
      </w:r>
      <w:r>
        <w:rPr>
          <w:spacing w:val="-18"/>
        </w:rPr>
        <w:t>中</w:t>
      </w:r>
      <w:r>
        <w:rPr/>
        <w:t>为乙方宣传其联系电话及门店地址，发布乙方加盟店开业等内容。</w:t>
      </w:r>
    </w:p>
    <w:p>
      <w:pPr>
        <w:pStyle w:val="BodyText"/>
        <w:tabs>
          <w:tab w:pos="11499" w:val="left" w:leader="none"/>
        </w:tabs>
        <w:spacing w:line="336" w:lineRule="auto" w:before="2"/>
        <w:ind w:right="1259" w:firstLine="880"/>
      </w:pPr>
      <w:r>
        <w:rPr/>
        <w:t>（二）为保障市场的统一管理和应对市场的变化，甲方有制定和变动原材</w:t>
      </w:r>
      <w:r>
        <w:rPr>
          <w:spacing w:val="-19"/>
        </w:rPr>
        <w:t>料</w:t>
      </w:r>
      <w:r>
        <w:rPr/>
        <w:t>及产品销售价格的权利。当价格产生变动时，甲方应提前</w:t>
        <w:tab/>
      </w:r>
      <w:r>
        <w:rPr>
          <w:rFonts w:ascii="Arial" w:eastAsia="Arial"/>
        </w:rPr>
        <w:t>15</w:t>
      </w:r>
      <w:r>
        <w:rPr>
          <w:rFonts w:ascii="Arial" w:eastAsia="Arial"/>
          <w:spacing w:val="-25"/>
        </w:rPr>
        <w:t> </w:t>
      </w:r>
      <w:r>
        <w:rPr/>
        <w:t>日通知乙方。</w:t>
      </w:r>
    </w:p>
    <w:p>
      <w:pPr>
        <w:spacing w:after="0" w:line="336" w:lineRule="auto"/>
        <w:sectPr>
          <w:pgSz w:w="19120" w:h="27080"/>
          <w:pgMar w:top="2540" w:bottom="280" w:left="1600" w:right="1400"/>
        </w:sectPr>
      </w:pPr>
    </w:p>
    <w:p>
      <w:pPr>
        <w:pStyle w:val="BodyText"/>
        <w:spacing w:line="336" w:lineRule="auto" w:before="20"/>
        <w:ind w:right="1219" w:firstLine="900"/>
        <w:jc w:val="both"/>
      </w:pPr>
      <w:r>
        <w:rPr/>
        <w:drawing>
          <wp:anchor distT="0" distB="0" distL="0" distR="0" allowOverlap="1" layoutInCell="1" locked="0" behindDoc="1" simplePos="0" relativeHeight="487439360">
            <wp:simplePos x="0" y="0"/>
            <wp:positionH relativeFrom="page">
              <wp:posOffset>0</wp:posOffset>
            </wp:positionH>
            <wp:positionV relativeFrom="page">
              <wp:posOffset>45133</wp:posOffset>
            </wp:positionV>
            <wp:extent cx="12109333" cy="17150666"/>
            <wp:effectExtent l="0" t="0" r="0" b="0"/>
            <wp:wrapNone/>
            <wp:docPr id="13" name="image8.png"/>
            <wp:cNvGraphicFramePr>
              <a:graphicFrameLocks noChangeAspect="1"/>
            </wp:cNvGraphicFramePr>
            <a:graphic>
              <a:graphicData uri="http://schemas.openxmlformats.org/drawingml/2006/picture">
                <pic:pic>
                  <pic:nvPicPr>
                    <pic:cNvPr id="14" name="image8.png"/>
                    <pic:cNvPicPr/>
                  </pic:nvPicPr>
                  <pic:blipFill>
                    <a:blip r:embed="rId12" cstate="print"/>
                    <a:stretch>
                      <a:fillRect/>
                    </a:stretch>
                  </pic:blipFill>
                  <pic:spPr>
                    <a:xfrm>
                      <a:off x="0" y="0"/>
                      <a:ext cx="12109333" cy="17150666"/>
                    </a:xfrm>
                    <a:prstGeom prst="rect">
                      <a:avLst/>
                    </a:prstGeom>
                  </pic:spPr>
                </pic:pic>
              </a:graphicData>
            </a:graphic>
          </wp:anchor>
        </w:drawing>
      </w:r>
      <w:r>
        <w:rPr/>
        <w:t>（</w:t>
      </w:r>
      <w:r>
        <w:rPr>
          <w:spacing w:val="-35"/>
        </w:rPr>
        <w:t> 三</w:t>
      </w:r>
      <w:r>
        <w:rPr>
          <w:spacing w:val="-20"/>
        </w:rPr>
        <w:t>）</w:t>
      </w:r>
      <w:r>
        <w:rPr>
          <w:spacing w:val="-1"/>
        </w:rPr>
        <w:t>甲方有义务在总部所在地为乙方加盟门店骨干人员提供上岗前的专业</w:t>
      </w:r>
      <w:r>
        <w:rPr/>
        <w:t>培训，经考核合格后方可上岗。并可根据经营管理需要，要求乙方人员定期或不定期参加在岗培训学习，相关交通费、食宿费等由乙方承担。</w:t>
      </w:r>
    </w:p>
    <w:p>
      <w:pPr>
        <w:pStyle w:val="BodyText"/>
        <w:spacing w:line="540" w:lineRule="exact"/>
        <w:ind w:left="1000"/>
      </w:pPr>
      <w:r>
        <w:rPr/>
        <w:t>（四）甲方有责任不定期将研发的新产品、新方法提供给乙方使用，并根据</w:t>
      </w:r>
    </w:p>
    <w:p>
      <w:pPr>
        <w:pStyle w:val="BodyText"/>
        <w:spacing w:line="331" w:lineRule="auto" w:before="212"/>
        <w:ind w:right="1299"/>
        <w:jc w:val="both"/>
      </w:pPr>
      <w:r>
        <w:rPr/>
        <w:t>市场需求指导乙方进行投放，支持乙方门店日常经营和后续发展。对于乙方提供的产品、技术改良建议，甲方除有使用的权利外，还有在乙方提供的基础上进行再改进和应用于其它地区加盟店的权利。</w:t>
      </w:r>
    </w:p>
    <w:p>
      <w:pPr>
        <w:pStyle w:val="BodyText"/>
        <w:spacing w:line="576" w:lineRule="exact"/>
        <w:ind w:left="1060"/>
      </w:pPr>
      <w:r>
        <w:rPr/>
        <w:t>（五）合同期限内甲方有权对乙方市场的加盟形式及经营方式等进行调整，</w:t>
      </w:r>
    </w:p>
    <w:p>
      <w:pPr>
        <w:pStyle w:val="BodyText"/>
        <w:spacing w:before="233"/>
      </w:pPr>
      <w:r>
        <w:rPr/>
        <w:t>乙方须无条件服从甲方调整。</w:t>
      </w:r>
    </w:p>
    <w:p>
      <w:pPr>
        <w:pStyle w:val="BodyText"/>
        <w:spacing w:line="319" w:lineRule="auto" w:before="213"/>
        <w:ind w:right="1259" w:firstLine="880"/>
      </w:pPr>
      <w:r>
        <w:rPr/>
        <w:t>（六）乙方加盟后应守法经营，按章纳税，如出现违法现象，除全部责任自负外，情节严重的甲方有权单方解除合同，并追究由此给甲方造成的经济损失。</w:t>
      </w:r>
    </w:p>
    <w:p>
      <w:pPr>
        <w:pStyle w:val="BodyText"/>
        <w:spacing w:before="37"/>
        <w:ind w:left="1020"/>
      </w:pPr>
      <w:r>
        <w:rPr/>
        <w:t>十、乙方的权利和义务：</w:t>
      </w:r>
    </w:p>
    <w:p>
      <w:pPr>
        <w:pStyle w:val="BodyText"/>
        <w:spacing w:line="326" w:lineRule="auto" w:before="233"/>
        <w:ind w:right="1259" w:firstLine="880"/>
      </w:pPr>
      <w:r>
        <w:rPr/>
        <w:t>（一）乙方有权提出市场营销建议。乙方有义务根据当地市场需求，建议甲方进行产品改良或增加新品，并提供新品建议或改良计划。</w:t>
      </w:r>
    </w:p>
    <w:p>
      <w:pPr>
        <w:pStyle w:val="BodyText"/>
        <w:spacing w:before="2"/>
        <w:ind w:left="1000"/>
      </w:pPr>
      <w:r>
        <w:rPr/>
        <w:t>（二）乙方加盟店营业后，除甲方每半年一次的正常巡视和经营辅导外，有</w:t>
      </w:r>
    </w:p>
    <w:p>
      <w:pPr>
        <w:pStyle w:val="BodyText"/>
        <w:tabs>
          <w:tab w:pos="7619" w:val="left" w:leader="none"/>
        </w:tabs>
        <w:spacing w:line="336" w:lineRule="auto" w:before="213"/>
        <w:ind w:right="359"/>
      </w:pPr>
      <w:r>
        <w:rPr/>
        <w:t>权要求甲方派技术人员支持指导工作。</w:t>
        <w:tab/>
        <w:t>根据乙方提出的请求，</w:t>
      </w:r>
      <w:r>
        <w:rPr>
          <w:spacing w:val="50"/>
        </w:rPr>
        <w:t> </w:t>
      </w:r>
      <w:r>
        <w:rPr/>
        <w:t>甲方派员进行指导</w:t>
      </w:r>
      <w:r>
        <w:rPr>
          <w:spacing w:val="-18"/>
        </w:rPr>
        <w:t>， </w:t>
      </w:r>
      <w:r>
        <w:rPr/>
        <w:t>由此产生的差旅费、食宿费用由乙方承担。</w:t>
      </w:r>
    </w:p>
    <w:p>
      <w:pPr>
        <w:pStyle w:val="BodyText"/>
        <w:spacing w:line="563" w:lineRule="exact"/>
        <w:ind w:left="1000"/>
      </w:pPr>
      <w:r>
        <w:rPr/>
        <w:t>乙方有义务接受甲方培训、督导、考核。</w:t>
      </w:r>
    </w:p>
    <w:p>
      <w:pPr>
        <w:pStyle w:val="BodyText"/>
        <w:spacing w:line="328" w:lineRule="auto" w:before="213"/>
        <w:ind w:right="1259" w:firstLine="880"/>
        <w:jc w:val="both"/>
      </w:pPr>
      <w:r>
        <w:rPr/>
        <w:t>（三）凡加盟店内使用的带有企业标识的物品，只能向甲方订购，由甲方统一配送。乙方所有员工及管理组，应按照甲方着装规范统一着装。乙方有义务配合甲方共同维护价格体系的执行，不得自行涨价或降价销售。乙方应当按照甲方的要求参加加盟商会议、公关活动和各种培训。</w:t>
      </w:r>
    </w:p>
    <w:p>
      <w:pPr>
        <w:pStyle w:val="BodyText"/>
        <w:spacing w:line="326" w:lineRule="auto" w:before="1"/>
        <w:ind w:right="1259" w:firstLine="880"/>
      </w:pPr>
      <w:r>
        <w:rPr/>
        <w:t>（四）乙方必须严守甲方的商业机密，不准私自外传或转让。如有违反，甲方有权解除合同，并追究乙方侵权责任和赔偿由此造成经济损失。</w:t>
      </w:r>
    </w:p>
    <w:p>
      <w:pPr>
        <w:pStyle w:val="BodyText"/>
        <w:spacing w:line="319" w:lineRule="auto" w:before="23"/>
        <w:ind w:right="1259" w:firstLine="880"/>
      </w:pPr>
      <w:r>
        <w:rPr/>
        <w:t>（五）乙方有义务在加盟后，按照甲方要求，定期更换餐具器皿及店内外装饰等物品，费用由乙方承担。乙方对店内桌椅需要更换、添置的，必须向甲方提</w:t>
      </w:r>
    </w:p>
    <w:p>
      <w:pPr>
        <w:spacing w:after="0" w:line="319" w:lineRule="auto"/>
        <w:sectPr>
          <w:pgSz w:w="19120" w:h="27080"/>
          <w:pgMar w:top="2540" w:bottom="280" w:left="1600" w:right="1400"/>
        </w:sectPr>
      </w:pPr>
    </w:p>
    <w:p>
      <w:pPr>
        <w:pStyle w:val="BodyText"/>
        <w:spacing w:line="336" w:lineRule="auto" w:before="20"/>
        <w:ind w:right="1299"/>
      </w:pPr>
      <w:r>
        <w:rPr/>
        <w:t>出书面申请，由甲方统一进行桌椅样式和摆放设计，并向甲方订购，由甲方统一配送至加盟店。</w:t>
      </w:r>
    </w:p>
    <w:p>
      <w:pPr>
        <w:pStyle w:val="BodyText"/>
        <w:tabs>
          <w:tab w:pos="5656" w:val="left" w:leader="none"/>
        </w:tabs>
        <w:spacing w:line="319" w:lineRule="auto"/>
        <w:ind w:right="1259" w:firstLine="880"/>
      </w:pPr>
      <w:r>
        <w:rPr/>
        <w:drawing>
          <wp:anchor distT="0" distB="0" distL="0" distR="0" allowOverlap="1" layoutInCell="1" locked="0" behindDoc="1" simplePos="0" relativeHeight="487439872">
            <wp:simplePos x="0" y="0"/>
            <wp:positionH relativeFrom="page">
              <wp:posOffset>4521999</wp:posOffset>
            </wp:positionH>
            <wp:positionV relativeFrom="paragraph">
              <wp:posOffset>810799</wp:posOffset>
            </wp:positionV>
            <wp:extent cx="6079999" cy="6130666"/>
            <wp:effectExtent l="0" t="0" r="0" b="0"/>
            <wp:wrapNone/>
            <wp:docPr id="15" name="image9.png"/>
            <wp:cNvGraphicFramePr>
              <a:graphicFrameLocks noChangeAspect="1"/>
            </wp:cNvGraphicFramePr>
            <a:graphic>
              <a:graphicData uri="http://schemas.openxmlformats.org/drawingml/2006/picture">
                <pic:pic>
                  <pic:nvPicPr>
                    <pic:cNvPr id="16" name="image9.png"/>
                    <pic:cNvPicPr/>
                  </pic:nvPicPr>
                  <pic:blipFill>
                    <a:blip r:embed="rId13" cstate="print"/>
                    <a:stretch>
                      <a:fillRect/>
                    </a:stretch>
                  </pic:blipFill>
                  <pic:spPr>
                    <a:xfrm>
                      <a:off x="0" y="0"/>
                      <a:ext cx="6079999" cy="6130666"/>
                    </a:xfrm>
                    <a:prstGeom prst="rect">
                      <a:avLst/>
                    </a:prstGeom>
                  </pic:spPr>
                </pic:pic>
              </a:graphicData>
            </a:graphic>
          </wp:anchor>
        </w:drawing>
      </w:r>
      <w:r>
        <w:rPr/>
        <w:t>（六）加盟店之间未经甲方书面同意不得随意串货。一经查实，甲方有权</w:t>
      </w:r>
      <w:r>
        <w:rPr>
          <w:spacing w:val="-19"/>
        </w:rPr>
        <w:t>根</w:t>
      </w:r>
      <w:r>
        <w:rPr/>
        <w:t>据情节严重情况处以人民币</w:t>
        <w:tab/>
      </w:r>
      <w:r>
        <w:rPr>
          <w:rFonts w:ascii="Arial" w:eastAsia="Arial"/>
        </w:rPr>
        <w:t>XXXXX</w:t>
      </w:r>
      <w:r>
        <w:rPr>
          <w:rFonts w:ascii="Arial" w:eastAsia="Arial"/>
          <w:spacing w:val="-75"/>
        </w:rPr>
        <w:t> </w:t>
      </w:r>
      <w:r>
        <w:rPr/>
        <w:t>元罚款</w:t>
      </w:r>
    </w:p>
    <w:p>
      <w:pPr>
        <w:pStyle w:val="BodyText"/>
        <w:spacing w:before="13"/>
        <w:ind w:left="1020"/>
      </w:pPr>
      <w:r>
        <w:rPr/>
        <w:t>十一、合同解除及违约</w:t>
      </w:r>
    </w:p>
    <w:p>
      <w:pPr>
        <w:pStyle w:val="BodyText"/>
        <w:spacing w:line="326" w:lineRule="auto" w:before="232"/>
        <w:ind w:right="579" w:firstLine="880"/>
      </w:pPr>
      <w:r>
        <w:rPr/>
        <w:t>（一）合同一经签订， 双方应严格遵守， 如因一方违约给对方造成经济损失， 除赔偿相应损失外，违约方需支付守约方壹万元人民币违约金。</w:t>
      </w:r>
    </w:p>
    <w:p>
      <w:pPr>
        <w:pStyle w:val="BodyText"/>
        <w:tabs>
          <w:tab w:pos="15119" w:val="left" w:leader="none"/>
        </w:tabs>
        <w:spacing w:before="3"/>
        <w:ind w:left="1000"/>
      </w:pPr>
      <w:r>
        <w:rPr/>
        <w:t>（二</w:t>
      </w:r>
      <w:r>
        <w:rPr>
          <w:spacing w:val="-80"/>
        </w:rPr>
        <w:t>）</w:t>
      </w:r>
      <w:r>
        <w:rPr/>
        <w:t>甲方有以下情形，</w:t>
      </w:r>
      <w:r>
        <w:rPr>
          <w:spacing w:val="-30"/>
        </w:rPr>
        <w:t> </w:t>
      </w:r>
      <w:r>
        <w:rPr/>
        <w:t>乙方有权解除合同，</w:t>
      </w:r>
      <w:r>
        <w:rPr>
          <w:spacing w:val="-10"/>
        </w:rPr>
        <w:t> </w:t>
      </w:r>
      <w:r>
        <w:rPr/>
        <w:t>并要求甲方承担违约金</w:t>
        <w:tab/>
        <w:t>元：</w:t>
      </w:r>
    </w:p>
    <w:p>
      <w:pPr>
        <w:pStyle w:val="ListParagraph"/>
        <w:numPr>
          <w:ilvl w:val="0"/>
          <w:numId w:val="6"/>
        </w:numPr>
        <w:tabs>
          <w:tab w:pos="1480" w:val="left" w:leader="none"/>
          <w:tab w:pos="7679" w:val="left" w:leader="none"/>
        </w:tabs>
        <w:spacing w:line="326" w:lineRule="auto" w:before="233" w:after="0"/>
        <w:ind w:left="120" w:right="879" w:firstLine="880"/>
        <w:jc w:val="left"/>
        <w:rPr>
          <w:sz w:val="42"/>
        </w:rPr>
      </w:pPr>
      <w:r>
        <w:rPr>
          <w:sz w:val="42"/>
        </w:rPr>
        <w:t>甲方向乙方虚假披露关键信息，</w:t>
        <w:tab/>
        <w:t>导致乙方做出错误决定或对乙方造成重</w:t>
      </w:r>
      <w:r>
        <w:rPr>
          <w:spacing w:val="-18"/>
          <w:sz w:val="42"/>
        </w:rPr>
        <w:t>大</w:t>
      </w:r>
      <w:r>
        <w:rPr>
          <w:sz w:val="42"/>
        </w:rPr>
        <w:t>损失的；</w:t>
      </w:r>
    </w:p>
    <w:p>
      <w:pPr>
        <w:pStyle w:val="ListParagraph"/>
        <w:numPr>
          <w:ilvl w:val="0"/>
          <w:numId w:val="6"/>
        </w:numPr>
        <w:tabs>
          <w:tab w:pos="1480" w:val="left" w:leader="none"/>
        </w:tabs>
        <w:spacing w:line="570" w:lineRule="exact" w:before="0" w:after="0"/>
        <w:ind w:left="1480" w:right="0" w:hanging="480"/>
        <w:jc w:val="left"/>
        <w:rPr>
          <w:sz w:val="42"/>
        </w:rPr>
      </w:pPr>
      <w:r>
        <w:rPr>
          <w:sz w:val="42"/>
        </w:rPr>
        <w:t>甲方无故停止向乙方配送产品或原料的；</w:t>
      </w:r>
    </w:p>
    <w:p>
      <w:pPr>
        <w:pStyle w:val="ListParagraph"/>
        <w:numPr>
          <w:ilvl w:val="0"/>
          <w:numId w:val="6"/>
        </w:numPr>
        <w:tabs>
          <w:tab w:pos="1480" w:val="left" w:leader="none"/>
        </w:tabs>
        <w:spacing w:line="240" w:lineRule="auto" w:before="232" w:after="0"/>
        <w:ind w:left="1480" w:right="0" w:hanging="480"/>
        <w:jc w:val="left"/>
        <w:rPr>
          <w:sz w:val="42"/>
        </w:rPr>
      </w:pPr>
      <w:r>
        <w:rPr>
          <w:sz w:val="42"/>
        </w:rPr>
        <w:t>甲方违反法律法规对乙方造成严重损害的；</w:t>
      </w:r>
    </w:p>
    <w:p>
      <w:pPr>
        <w:pStyle w:val="ListParagraph"/>
        <w:numPr>
          <w:ilvl w:val="0"/>
          <w:numId w:val="6"/>
        </w:numPr>
        <w:tabs>
          <w:tab w:pos="1480" w:val="left" w:leader="none"/>
        </w:tabs>
        <w:spacing w:line="240" w:lineRule="auto" w:before="233" w:after="0"/>
        <w:ind w:left="1480" w:right="0" w:hanging="480"/>
        <w:jc w:val="left"/>
        <w:rPr>
          <w:sz w:val="42"/>
        </w:rPr>
      </w:pPr>
      <w:r>
        <w:rPr>
          <w:sz w:val="42"/>
        </w:rPr>
        <w:t>甲方资质违反法律法规要求被撤销的</w:t>
      </w:r>
    </w:p>
    <w:p>
      <w:pPr>
        <w:pStyle w:val="ListParagraph"/>
        <w:numPr>
          <w:ilvl w:val="0"/>
          <w:numId w:val="6"/>
        </w:numPr>
        <w:tabs>
          <w:tab w:pos="1480" w:val="left" w:leader="none"/>
        </w:tabs>
        <w:spacing w:line="240" w:lineRule="auto" w:before="213" w:after="0"/>
        <w:ind w:left="1480" w:right="0" w:hanging="480"/>
        <w:jc w:val="left"/>
        <w:rPr>
          <w:sz w:val="42"/>
        </w:rPr>
      </w:pPr>
      <w:r>
        <w:rPr>
          <w:sz w:val="42"/>
        </w:rPr>
        <w:t>乙方在签订本合同之日起七天内可以无条件解除本合同。</w:t>
      </w:r>
    </w:p>
    <w:p>
      <w:pPr>
        <w:pStyle w:val="BodyText"/>
        <w:tabs>
          <w:tab w:pos="11759" w:val="left" w:leader="none"/>
          <w:tab w:pos="13999" w:val="left" w:leader="none"/>
        </w:tabs>
        <w:spacing w:line="331" w:lineRule="auto" w:before="212"/>
        <w:ind w:right="439" w:firstLine="880"/>
        <w:jc w:val="both"/>
      </w:pPr>
      <w:r>
        <w:rPr/>
        <w:t>（三）乙方有以下情形，甲方有权书面提请乙方注意，通知后</w:t>
        <w:tab/>
        <w:t>日未更</w:t>
      </w:r>
      <w:r>
        <w:rPr>
          <w:spacing w:val="-18"/>
        </w:rPr>
        <w:t>正</w:t>
      </w:r>
      <w:r>
        <w:rPr/>
        <w:t>的，甲方有权单方解除合同，并要求乙方承担违约金</w:t>
        <w:tab/>
        <w:t>元或要求乙方赔偿实际损失：</w:t>
      </w:r>
    </w:p>
    <w:p>
      <w:pPr>
        <w:pStyle w:val="ListParagraph"/>
        <w:numPr>
          <w:ilvl w:val="0"/>
          <w:numId w:val="7"/>
        </w:numPr>
        <w:tabs>
          <w:tab w:pos="1480" w:val="left" w:leader="none"/>
        </w:tabs>
        <w:spacing w:line="576" w:lineRule="exact" w:before="0" w:after="0"/>
        <w:ind w:left="1480" w:right="0" w:hanging="480"/>
        <w:jc w:val="left"/>
        <w:rPr>
          <w:sz w:val="42"/>
        </w:rPr>
      </w:pPr>
      <w:r>
        <w:rPr>
          <w:sz w:val="42"/>
        </w:rPr>
        <w:t>乙方获取或使用加盟授权的过程中，向甲方提供虚假证件及材料的；</w:t>
      </w:r>
    </w:p>
    <w:p>
      <w:pPr>
        <w:pStyle w:val="ListParagraph"/>
        <w:numPr>
          <w:ilvl w:val="0"/>
          <w:numId w:val="7"/>
        </w:numPr>
        <w:tabs>
          <w:tab w:pos="1480" w:val="left" w:leader="none"/>
          <w:tab w:pos="4739" w:val="left" w:leader="none"/>
          <w:tab w:pos="5219" w:val="left" w:leader="none"/>
          <w:tab w:pos="11459" w:val="left" w:leader="none"/>
        </w:tabs>
        <w:spacing w:line="328" w:lineRule="auto" w:before="213" w:after="0"/>
        <w:ind w:left="120" w:right="539" w:firstLine="880"/>
        <w:jc w:val="left"/>
        <w:rPr>
          <w:sz w:val="42"/>
        </w:rPr>
      </w:pPr>
      <w:r>
        <w:rPr>
          <w:sz w:val="42"/>
        </w:rPr>
        <w:t>乙方未能在每月</w:t>
        <w:tab/>
      </w:r>
      <w:r>
        <w:rPr>
          <w:rFonts w:ascii="Arial" w:eastAsia="Arial"/>
          <w:sz w:val="42"/>
        </w:rPr>
        <w:t>X</w:t>
      </w:r>
      <w:r>
        <w:rPr>
          <w:rFonts w:ascii="Arial" w:eastAsia="Arial"/>
          <w:spacing w:val="-57"/>
          <w:sz w:val="42"/>
        </w:rPr>
        <w:t> </w:t>
      </w:r>
      <w:r>
        <w:rPr>
          <w:sz w:val="42"/>
        </w:rPr>
        <w:t>日前缴纳品牌使用费的，自当月</w:t>
        <w:tab/>
      </w:r>
      <w:r>
        <w:rPr>
          <w:rFonts w:ascii="Arial" w:eastAsia="Arial"/>
          <w:sz w:val="42"/>
        </w:rPr>
        <w:t>X</w:t>
      </w:r>
      <w:r>
        <w:rPr>
          <w:rFonts w:ascii="Arial" w:eastAsia="Arial"/>
          <w:spacing w:val="-57"/>
          <w:sz w:val="42"/>
        </w:rPr>
        <w:t> </w:t>
      </w:r>
      <w:r>
        <w:rPr>
          <w:sz w:val="42"/>
        </w:rPr>
        <w:t>日起，每日产生拖</w:t>
      </w:r>
      <w:r>
        <w:rPr>
          <w:spacing w:val="-18"/>
          <w:sz w:val="42"/>
        </w:rPr>
        <w:t>欠</w:t>
      </w:r>
      <w:r>
        <w:rPr>
          <w:sz w:val="42"/>
        </w:rPr>
        <w:t>费用</w:t>
      </w:r>
      <w:r>
        <w:rPr>
          <w:spacing w:val="70"/>
          <w:sz w:val="42"/>
        </w:rPr>
        <w:t> </w:t>
      </w:r>
      <w:r>
        <w:rPr>
          <w:rFonts w:ascii="Arial" w:eastAsia="Arial"/>
          <w:spacing w:val="-84"/>
          <w:sz w:val="42"/>
        </w:rPr>
        <w:t>1%</w:t>
      </w:r>
      <w:r>
        <w:rPr>
          <w:sz w:val="42"/>
        </w:rPr>
        <w:t>的滞纳金</w:t>
      </w:r>
      <w:r>
        <w:rPr>
          <w:spacing w:val="60"/>
          <w:sz w:val="42"/>
        </w:rPr>
        <w:t>。</w:t>
      </w:r>
      <w:r>
        <w:rPr>
          <w:sz w:val="42"/>
        </w:rPr>
        <w:t>若当月</w:t>
        <w:tab/>
      </w:r>
      <w:r>
        <w:rPr>
          <w:rFonts w:ascii="Arial" w:eastAsia="Arial"/>
          <w:spacing w:val="39"/>
          <w:sz w:val="42"/>
        </w:rPr>
        <w:t>X</w:t>
      </w:r>
      <w:r>
        <w:rPr>
          <w:sz w:val="42"/>
        </w:rPr>
        <w:t>日后仍未缴纳的，</w:t>
      </w:r>
      <w:r>
        <w:rPr>
          <w:spacing w:val="50"/>
          <w:sz w:val="42"/>
        </w:rPr>
        <w:t> </w:t>
      </w:r>
      <w:r>
        <w:rPr>
          <w:sz w:val="42"/>
        </w:rPr>
        <w:t>甲方可从乙方交纳的保证金中先行扣除，并可以单方解除合同。以及加盟门店不能如期足额交纳品牌使用费、货款    以及其它各类款项的；</w:t>
      </w:r>
    </w:p>
    <w:p>
      <w:pPr>
        <w:pStyle w:val="ListParagraph"/>
        <w:numPr>
          <w:ilvl w:val="0"/>
          <w:numId w:val="7"/>
        </w:numPr>
        <w:tabs>
          <w:tab w:pos="1480" w:val="left" w:leader="none"/>
          <w:tab w:pos="9219" w:val="left" w:leader="none"/>
        </w:tabs>
        <w:spacing w:line="331" w:lineRule="auto" w:before="1" w:after="0"/>
        <w:ind w:left="120" w:right="699" w:firstLine="880"/>
        <w:jc w:val="left"/>
        <w:rPr>
          <w:sz w:val="42"/>
        </w:rPr>
      </w:pPr>
      <w:r>
        <w:rPr>
          <w:sz w:val="42"/>
        </w:rPr>
        <w:t>甲方监督检查后，对乙方同一问题提出</w:t>
        <w:tab/>
      </w:r>
      <w:r>
        <w:rPr>
          <w:rFonts w:ascii="Arial" w:eastAsia="Arial"/>
          <w:sz w:val="42"/>
        </w:rPr>
        <w:t>3</w:t>
      </w:r>
      <w:r>
        <w:rPr>
          <w:rFonts w:ascii="Arial" w:eastAsia="Arial"/>
          <w:spacing w:val="-31"/>
          <w:sz w:val="42"/>
        </w:rPr>
        <w:t> </w:t>
      </w:r>
      <w:r>
        <w:rPr>
          <w:sz w:val="42"/>
        </w:rPr>
        <w:t>次警告，乙方拒不改正的，甲</w:t>
      </w:r>
      <w:r>
        <w:rPr>
          <w:spacing w:val="-18"/>
          <w:sz w:val="42"/>
        </w:rPr>
        <w:t>方</w:t>
      </w:r>
      <w:r>
        <w:rPr>
          <w:sz w:val="42"/>
        </w:rPr>
        <w:t>有权责令乙方停业整顿，拒不整改的，甲方有权解除合同，收回加盟授权。或者  乙方不接受甲方的监督管理，或阻止甲方进行检查的；</w:t>
      </w:r>
    </w:p>
    <w:p>
      <w:pPr>
        <w:pStyle w:val="ListParagraph"/>
        <w:numPr>
          <w:ilvl w:val="0"/>
          <w:numId w:val="7"/>
        </w:numPr>
        <w:tabs>
          <w:tab w:pos="1480" w:val="left" w:leader="none"/>
        </w:tabs>
        <w:spacing w:line="556" w:lineRule="exact" w:before="0" w:after="0"/>
        <w:ind w:left="1480" w:right="0" w:hanging="480"/>
        <w:jc w:val="left"/>
        <w:rPr>
          <w:sz w:val="42"/>
        </w:rPr>
      </w:pPr>
      <w:r>
        <w:rPr>
          <w:sz w:val="42"/>
        </w:rPr>
        <w:t>未经甲方允许擅自制作商标、扩大许可商标使用范围，或与其它商标组合</w:t>
      </w:r>
    </w:p>
    <w:p>
      <w:pPr>
        <w:pStyle w:val="BodyText"/>
        <w:spacing w:before="233"/>
      </w:pPr>
      <w:r>
        <w:rPr/>
        <w:t>或混淆使用的；</w:t>
      </w:r>
    </w:p>
    <w:p>
      <w:pPr>
        <w:spacing w:after="0"/>
        <w:sectPr>
          <w:pgSz w:w="19120" w:h="27080"/>
          <w:pgMar w:top="2540" w:bottom="280" w:left="1600" w:right="1400"/>
        </w:sectPr>
      </w:pPr>
    </w:p>
    <w:p>
      <w:pPr>
        <w:pStyle w:val="ListParagraph"/>
        <w:numPr>
          <w:ilvl w:val="0"/>
          <w:numId w:val="7"/>
        </w:numPr>
        <w:tabs>
          <w:tab w:pos="1480" w:val="left" w:leader="none"/>
        </w:tabs>
        <w:spacing w:line="336" w:lineRule="auto" w:before="40" w:after="0"/>
        <w:ind w:left="120" w:right="1199" w:firstLine="880"/>
        <w:jc w:val="left"/>
        <w:rPr>
          <w:sz w:val="42"/>
        </w:rPr>
      </w:pPr>
      <w:r>
        <w:rPr>
          <w:spacing w:val="-1"/>
          <w:sz w:val="42"/>
        </w:rPr>
        <w:t>未经甲方允许将许可商标再许可他人使用或转让、出借、出租、转卖他人</w:t>
      </w:r>
      <w:r>
        <w:rPr>
          <w:sz w:val="42"/>
        </w:rPr>
        <w:t>使用的；</w:t>
      </w:r>
    </w:p>
    <w:p>
      <w:pPr>
        <w:pStyle w:val="ListParagraph"/>
        <w:numPr>
          <w:ilvl w:val="0"/>
          <w:numId w:val="7"/>
        </w:numPr>
        <w:tabs>
          <w:tab w:pos="1480" w:val="left" w:leader="none"/>
          <w:tab w:pos="7339" w:val="left" w:leader="none"/>
        </w:tabs>
        <w:spacing w:line="583" w:lineRule="exact" w:before="0" w:after="0"/>
        <w:ind w:left="1480" w:right="0" w:hanging="480"/>
        <w:jc w:val="left"/>
        <w:rPr>
          <w:sz w:val="42"/>
        </w:rPr>
      </w:pPr>
      <w:r>
        <w:rPr>
          <w:sz w:val="42"/>
        </w:rPr>
        <w:t>私自改变产品价格和营业时间</w:t>
        <w:tab/>
      </w:r>
      <w:r>
        <w:rPr>
          <w:rFonts w:ascii="Arial" w:eastAsia="Arial"/>
          <w:sz w:val="42"/>
        </w:rPr>
        <w:t>,</w:t>
      </w:r>
      <w:r>
        <w:rPr>
          <w:rFonts w:ascii="Arial" w:eastAsia="Arial"/>
          <w:spacing w:val="-14"/>
          <w:sz w:val="42"/>
        </w:rPr>
        <w:t> </w:t>
      </w:r>
      <w:r>
        <w:rPr>
          <w:sz w:val="42"/>
        </w:rPr>
        <w:t>给甲方的造成不良影响的；</w:t>
      </w:r>
    </w:p>
    <w:p>
      <w:pPr>
        <w:pStyle w:val="ListParagraph"/>
        <w:numPr>
          <w:ilvl w:val="0"/>
          <w:numId w:val="7"/>
        </w:numPr>
        <w:tabs>
          <w:tab w:pos="1480" w:val="left" w:leader="none"/>
          <w:tab w:pos="8239" w:val="left" w:leader="none"/>
        </w:tabs>
        <w:spacing w:line="240" w:lineRule="auto" w:before="192" w:after="0"/>
        <w:ind w:left="1480" w:right="0" w:hanging="480"/>
        <w:jc w:val="left"/>
        <w:rPr>
          <w:rFonts w:ascii="Arial" w:eastAsia="Arial"/>
          <w:sz w:val="42"/>
        </w:rPr>
      </w:pPr>
      <w:r>
        <w:rPr>
          <w:sz w:val="42"/>
        </w:rPr>
        <w:t>在店面私经营他人商品或者串货的</w:t>
        <w:tab/>
      </w:r>
      <w:r>
        <w:rPr>
          <w:rFonts w:ascii="Arial" w:eastAsia="Arial"/>
          <w:sz w:val="42"/>
        </w:rPr>
        <w:t>;</w:t>
      </w:r>
    </w:p>
    <w:p>
      <w:pPr>
        <w:pStyle w:val="ListParagraph"/>
        <w:numPr>
          <w:ilvl w:val="0"/>
          <w:numId w:val="7"/>
        </w:numPr>
        <w:tabs>
          <w:tab w:pos="1480" w:val="left" w:leader="none"/>
        </w:tabs>
        <w:spacing w:line="336" w:lineRule="auto" w:before="213" w:after="0"/>
        <w:ind w:left="120" w:right="1199" w:firstLine="880"/>
        <w:jc w:val="left"/>
        <w:rPr>
          <w:sz w:val="42"/>
        </w:rPr>
      </w:pPr>
      <w:r>
        <w:rPr>
          <w:spacing w:val="-1"/>
          <w:sz w:val="42"/>
        </w:rPr>
        <w:t>将本合同权益擅自转让他人的，或者擅自更换经营者，允许第三方合伙、</w:t>
      </w:r>
      <w:r>
        <w:rPr>
          <w:sz w:val="42"/>
        </w:rPr>
        <w:t>入股；</w:t>
      </w:r>
    </w:p>
    <w:p>
      <w:pPr>
        <w:pStyle w:val="ListParagraph"/>
        <w:numPr>
          <w:ilvl w:val="0"/>
          <w:numId w:val="7"/>
        </w:numPr>
        <w:tabs>
          <w:tab w:pos="1480" w:val="left" w:leader="none"/>
        </w:tabs>
        <w:spacing w:line="563" w:lineRule="exact" w:before="0" w:after="0"/>
        <w:ind w:left="1480" w:right="0" w:hanging="480"/>
        <w:jc w:val="left"/>
        <w:rPr>
          <w:sz w:val="42"/>
        </w:rPr>
      </w:pPr>
      <w:r>
        <w:rPr>
          <w:sz w:val="42"/>
        </w:rPr>
        <w:t>擅自更换店址，或将店面转让、出租他人使用乙方擅自变更加盟店经营场</w:t>
      </w:r>
    </w:p>
    <w:p>
      <w:pPr>
        <w:pStyle w:val="BodyText"/>
        <w:spacing w:before="213"/>
      </w:pPr>
      <w:r>
        <w:rPr/>
        <w:t>地或经营范围的</w:t>
      </w:r>
    </w:p>
    <w:p>
      <w:pPr>
        <w:pStyle w:val="ListParagraph"/>
        <w:numPr>
          <w:ilvl w:val="0"/>
          <w:numId w:val="7"/>
        </w:numPr>
        <w:tabs>
          <w:tab w:pos="1700" w:val="left" w:leader="none"/>
        </w:tabs>
        <w:spacing w:line="240" w:lineRule="auto" w:before="232" w:after="0"/>
        <w:ind w:left="1700" w:right="0" w:hanging="700"/>
        <w:jc w:val="left"/>
        <w:rPr>
          <w:sz w:val="42"/>
        </w:rPr>
      </w:pPr>
      <w:r>
        <w:rPr>
          <w:sz w:val="42"/>
        </w:rPr>
        <w:t>私自开设分店的；</w:t>
      </w:r>
    </w:p>
    <w:p>
      <w:pPr>
        <w:pStyle w:val="BodyText"/>
        <w:ind w:left="115"/>
        <w:rPr>
          <w:sz w:val="20"/>
        </w:rPr>
      </w:pPr>
      <w:r>
        <w:rPr>
          <w:sz w:val="20"/>
        </w:rPr>
        <w:pict>
          <v:group style="width:783.95pt;height:38.9pt;mso-position-horizontal-relative:char;mso-position-vertical-relative:line" coordorigin="0,0" coordsize="15679,778">
            <v:shape style="position:absolute;left:0;top:0;width:15679;height:778" type="#_x0000_t75" stroked="false">
              <v:imagedata r:id="rId14" o:title=""/>
            </v:shape>
            <v:shapetype id="_x0000_t202" o:spt="202" coordsize="21600,21600" path="m,l,21600r21600,l21600,xe">
              <v:stroke joinstyle="miter"/>
              <v:path gradientshapeok="t" o:connecttype="rect"/>
            </v:shapetype>
            <v:shape style="position:absolute;left:0;top:0;width:15679;height:778" type="#_x0000_t202" filled="false" stroked="false">
              <v:textbox inset="0,0,0,0">
                <w:txbxContent>
                  <w:p>
                    <w:pPr>
                      <w:spacing w:line="564" w:lineRule="exact" w:before="214"/>
                      <w:ind w:left="884" w:right="0" w:firstLine="0"/>
                      <w:jc w:val="left"/>
                      <w:rPr>
                        <w:sz w:val="42"/>
                      </w:rPr>
                    </w:pPr>
                    <w:r>
                      <w:rPr>
                        <w:rFonts w:ascii="Arial" w:eastAsia="Arial"/>
                        <w:sz w:val="42"/>
                      </w:rPr>
                      <w:t>11. </w:t>
                    </w:r>
                    <w:r>
                      <w:rPr>
                        <w:sz w:val="42"/>
                      </w:rPr>
                      <w:t>擅自变更本合同规定的其他权利义务的。</w:t>
                    </w:r>
                  </w:p>
                </w:txbxContent>
              </v:textbox>
              <w10:wrap type="none"/>
            </v:shape>
          </v:group>
        </w:pict>
      </w:r>
      <w:r>
        <w:rPr>
          <w:sz w:val="20"/>
        </w:rPr>
      </w:r>
    </w:p>
    <w:p>
      <w:pPr>
        <w:pStyle w:val="BodyText"/>
        <w:spacing w:before="10"/>
        <w:ind w:left="0"/>
        <w:rPr>
          <w:sz w:val="11"/>
        </w:rPr>
      </w:pPr>
    </w:p>
    <w:p>
      <w:pPr>
        <w:pStyle w:val="BodyText"/>
        <w:spacing w:before="41"/>
        <w:ind w:left="1020"/>
      </w:pPr>
      <w:r>
        <w:rPr/>
        <w:t>十二、合同终止</w:t>
      </w:r>
    </w:p>
    <w:p>
      <w:pPr>
        <w:pStyle w:val="BodyText"/>
        <w:spacing w:before="233"/>
        <w:ind w:left="1000"/>
      </w:pPr>
      <w:r>
        <w:rPr/>
        <w:t>发生下列情况之一的，双方合同终止：</w:t>
      </w:r>
    </w:p>
    <w:p>
      <w:pPr>
        <w:pStyle w:val="BodyText"/>
        <w:spacing w:before="232"/>
        <w:ind w:left="1000"/>
      </w:pPr>
      <w:r>
        <w:rPr/>
        <w:t>（ </w:t>
      </w:r>
      <w:r>
        <w:rPr>
          <w:rFonts w:ascii="Arial" w:eastAsia="Arial"/>
        </w:rPr>
        <w:t>1</w:t>
      </w:r>
      <w:r>
        <w:rPr/>
        <w:t>）合同到期双方未续订合同的；</w:t>
      </w:r>
    </w:p>
    <w:p>
      <w:pPr>
        <w:pStyle w:val="BodyText"/>
        <w:spacing w:before="213"/>
        <w:ind w:left="1000"/>
      </w:pPr>
      <w:r>
        <w:rPr/>
        <w:t>（ </w:t>
      </w:r>
      <w:r>
        <w:rPr>
          <w:rFonts w:ascii="Arial" w:eastAsia="Arial"/>
        </w:rPr>
        <w:t>2</w:t>
      </w:r>
      <w:r>
        <w:rPr/>
        <w:t>）一方遭受严重亏损，已无法继续经营或破产的；</w:t>
      </w:r>
    </w:p>
    <w:p>
      <w:pPr>
        <w:pStyle w:val="BodyText"/>
        <w:spacing w:before="213"/>
        <w:ind w:left="1000"/>
      </w:pPr>
      <w:r>
        <w:rPr/>
        <w:t>（ </w:t>
      </w:r>
      <w:r>
        <w:rPr>
          <w:rFonts w:ascii="Arial" w:eastAsia="Arial"/>
        </w:rPr>
        <w:t>3</w:t>
      </w:r>
      <w:r>
        <w:rPr/>
        <w:t>）乙方店铺被拆迁又未能在该地区找到合适新址的；</w:t>
      </w:r>
    </w:p>
    <w:p>
      <w:pPr>
        <w:pStyle w:val="BodyText"/>
        <w:spacing w:before="212"/>
        <w:ind w:left="1000"/>
      </w:pPr>
      <w:r>
        <w:rPr/>
        <w:t>（ </w:t>
      </w:r>
      <w:r>
        <w:rPr>
          <w:rFonts w:ascii="Arial" w:eastAsia="Arial"/>
        </w:rPr>
        <w:t>4</w:t>
      </w:r>
      <w:r>
        <w:rPr/>
        <w:t>）乙方财产中主要部分被法院或其他执法部门查封或强制执行的；</w:t>
      </w:r>
    </w:p>
    <w:p>
      <w:pPr>
        <w:pStyle w:val="BodyText"/>
        <w:spacing w:before="233"/>
        <w:ind w:left="1000"/>
      </w:pPr>
      <w:r>
        <w:rPr/>
        <w:t>（ </w:t>
      </w:r>
      <w:r>
        <w:rPr>
          <w:rFonts w:ascii="Arial" w:eastAsia="Arial"/>
        </w:rPr>
        <w:t>5</w:t>
      </w:r>
      <w:r>
        <w:rPr/>
        <w:t>）自然灾害、战争或其它不可抗力因素导致无法履行合同的。</w:t>
      </w:r>
    </w:p>
    <w:p>
      <w:pPr>
        <w:pStyle w:val="BodyText"/>
        <w:tabs>
          <w:tab w:pos="11279" w:val="left" w:leader="none"/>
        </w:tabs>
        <w:spacing w:line="326" w:lineRule="auto" w:before="213"/>
        <w:ind w:right="639" w:firstLine="880"/>
      </w:pPr>
      <w:r>
        <w:rPr/>
        <w:t>出现上述事由致使合同无法履行或无法全部履行时，</w:t>
        <w:tab/>
        <w:t>甲方或乙方应在事件</w:t>
      </w:r>
      <w:r>
        <w:rPr>
          <w:spacing w:val="-18"/>
        </w:rPr>
        <w:t>发</w:t>
      </w:r>
      <w:r>
        <w:rPr/>
        <w:t>生后</w:t>
      </w:r>
      <w:r>
        <w:rPr>
          <w:spacing w:val="70"/>
        </w:rPr>
        <w:t> </w:t>
      </w:r>
      <w:r>
        <w:rPr>
          <w:rFonts w:ascii="Arial" w:eastAsia="Arial"/>
        </w:rPr>
        <w:t>10</w:t>
      </w:r>
      <w:r>
        <w:rPr>
          <w:rFonts w:ascii="Arial" w:eastAsia="Arial"/>
          <w:spacing w:val="-24"/>
        </w:rPr>
        <w:t> </w:t>
      </w:r>
      <w:r>
        <w:rPr/>
        <w:t>日内，将事故情况书面通知另一方，双方互不承担责任。</w:t>
      </w:r>
    </w:p>
    <w:p>
      <w:pPr>
        <w:pStyle w:val="BodyText"/>
        <w:spacing w:before="2"/>
        <w:ind w:left="1000"/>
      </w:pPr>
      <w:r>
        <w:rPr/>
        <w:t>十三、合同解除或终止后的责任</w:t>
      </w:r>
    </w:p>
    <w:p>
      <w:pPr>
        <w:pStyle w:val="ListParagraph"/>
        <w:numPr>
          <w:ilvl w:val="0"/>
          <w:numId w:val="8"/>
        </w:numPr>
        <w:tabs>
          <w:tab w:pos="1460" w:val="left" w:leader="none"/>
          <w:tab w:pos="12379" w:val="left" w:leader="none"/>
        </w:tabs>
        <w:spacing w:line="326" w:lineRule="auto" w:before="233" w:after="0"/>
        <w:ind w:left="120" w:right="639" w:firstLine="880"/>
        <w:jc w:val="left"/>
        <w:rPr>
          <w:sz w:val="42"/>
        </w:rPr>
      </w:pPr>
      <w:r>
        <w:rPr>
          <w:sz w:val="42"/>
        </w:rPr>
        <w:t>本合同解除或终止后，乙方应在解除生效日或终止日后</w:t>
        <w:tab/>
      </w:r>
      <w:r>
        <w:rPr>
          <w:rFonts w:ascii="Arial" w:eastAsia="Arial"/>
          <w:sz w:val="42"/>
        </w:rPr>
        <w:t>10</w:t>
      </w:r>
      <w:r>
        <w:rPr>
          <w:rFonts w:ascii="Arial" w:eastAsia="Arial"/>
          <w:spacing w:val="-5"/>
          <w:sz w:val="42"/>
        </w:rPr>
        <w:t> </w:t>
      </w:r>
      <w:r>
        <w:rPr>
          <w:sz w:val="42"/>
        </w:rPr>
        <w:t>日内办清注</w:t>
      </w:r>
      <w:r>
        <w:rPr>
          <w:spacing w:val="-17"/>
          <w:sz w:val="42"/>
        </w:rPr>
        <w:t>销</w:t>
      </w:r>
      <w:r>
        <w:rPr>
          <w:sz w:val="42"/>
        </w:rPr>
        <w:t>加盟店登记手续。</w:t>
      </w:r>
    </w:p>
    <w:p>
      <w:pPr>
        <w:pStyle w:val="ListParagraph"/>
        <w:numPr>
          <w:ilvl w:val="0"/>
          <w:numId w:val="8"/>
        </w:numPr>
        <w:tabs>
          <w:tab w:pos="1480" w:val="left" w:leader="none"/>
          <w:tab w:pos="7259" w:val="left" w:leader="none"/>
        </w:tabs>
        <w:spacing w:line="331" w:lineRule="auto" w:before="2" w:after="0"/>
        <w:ind w:left="120" w:right="879" w:firstLine="900"/>
        <w:jc w:val="left"/>
        <w:rPr>
          <w:sz w:val="42"/>
        </w:rPr>
      </w:pPr>
      <w:r>
        <w:rPr>
          <w:sz w:val="42"/>
        </w:rPr>
        <w:t>自本合同解除或终止之日起，</w:t>
        <w:tab/>
        <w:t>乙方应立即停止加盟门店的所有业务活动</w:t>
      </w:r>
      <w:r>
        <w:rPr>
          <w:spacing w:val="-18"/>
          <w:sz w:val="42"/>
        </w:rPr>
        <w:t>和</w:t>
      </w:r>
      <w:r>
        <w:rPr>
          <w:sz w:val="42"/>
        </w:rPr>
        <w:t>任何形式的广告宣传，停止使用并拆除正在使用的甲方商标、商业标识，销毁或 分离库存产品上商标标记，清除乙方与甲方有关的店面装璜要素、装修风格。</w:t>
      </w:r>
    </w:p>
    <w:p>
      <w:pPr>
        <w:pStyle w:val="BodyText"/>
        <w:tabs>
          <w:tab w:pos="2139" w:val="left" w:leader="none"/>
        </w:tabs>
        <w:spacing w:line="556" w:lineRule="exact"/>
        <w:ind w:left="1020"/>
      </w:pPr>
      <w:r>
        <w:rPr/>
        <w:t>十四</w:t>
        <w:tab/>
        <w:t>、不可抗力</w:t>
      </w:r>
    </w:p>
    <w:p>
      <w:pPr>
        <w:spacing w:after="0" w:line="556" w:lineRule="exact"/>
        <w:sectPr>
          <w:pgSz w:w="19120" w:h="27080"/>
          <w:pgMar w:top="2520" w:bottom="280" w:left="1600" w:right="1400"/>
        </w:sectPr>
      </w:pPr>
    </w:p>
    <w:p>
      <w:pPr>
        <w:pStyle w:val="BodyText"/>
        <w:tabs>
          <w:tab w:pos="7219" w:val="left" w:leader="none"/>
          <w:tab w:pos="8299" w:val="left" w:leader="none"/>
        </w:tabs>
        <w:spacing w:line="328" w:lineRule="auto" w:before="20"/>
        <w:ind w:right="539" w:firstLine="880"/>
      </w:pPr>
      <w:r>
        <w:rPr/>
        <w:t>本合同所指不可抗力包括：自然灾害、战争、政府征用、意外事件或非双方   所能控制或所能预见和避免的事件。</w:t>
        <w:tab/>
        <w:t>由于不可抗力原因致使合同无法履行或无法全部履行时，甲方或乙方应在事件发生后</w:t>
        <w:tab/>
      </w:r>
      <w:r>
        <w:rPr>
          <w:rFonts w:ascii="Arial" w:eastAsia="Arial"/>
        </w:rPr>
        <w:t>10</w:t>
      </w:r>
      <w:r>
        <w:rPr>
          <w:rFonts w:ascii="Arial" w:eastAsia="Arial"/>
          <w:spacing w:val="-25"/>
        </w:rPr>
        <w:t> </w:t>
      </w:r>
      <w:r>
        <w:rPr/>
        <w:t>日内，将事故情况书面通知另一方</w:t>
      </w:r>
      <w:r>
        <w:rPr>
          <w:spacing w:val="-17"/>
        </w:rPr>
        <w:t>， </w:t>
      </w:r>
      <w:r>
        <w:rPr/>
        <w:t>由于本条款的原因提前解除本合同的，双方免除责任。</w:t>
      </w:r>
    </w:p>
    <w:p>
      <w:pPr>
        <w:pStyle w:val="BodyText"/>
        <w:spacing w:before="1"/>
        <w:ind w:left="1020"/>
      </w:pPr>
      <w:r>
        <w:rPr/>
        <w:t>十五、争议的解决</w:t>
      </w:r>
    </w:p>
    <w:p>
      <w:pPr>
        <w:pStyle w:val="BodyText"/>
        <w:spacing w:line="326" w:lineRule="auto" w:before="233"/>
        <w:ind w:right="1259" w:firstLine="880"/>
        <w:jc w:val="both"/>
      </w:pPr>
      <w:r>
        <w:rPr/>
        <w:drawing>
          <wp:anchor distT="0" distB="0" distL="0" distR="0" allowOverlap="1" layoutInCell="1" locked="0" behindDoc="1" simplePos="0" relativeHeight="487441408">
            <wp:simplePos x="0" y="0"/>
            <wp:positionH relativeFrom="page">
              <wp:posOffset>2254666</wp:posOffset>
            </wp:positionH>
            <wp:positionV relativeFrom="paragraph">
              <wp:posOffset>967421</wp:posOffset>
            </wp:positionV>
            <wp:extent cx="8410666" cy="4598000"/>
            <wp:effectExtent l="0" t="0" r="0" b="0"/>
            <wp:wrapNone/>
            <wp:docPr id="17" name="image11.png"/>
            <wp:cNvGraphicFramePr>
              <a:graphicFrameLocks noChangeAspect="1"/>
            </wp:cNvGraphicFramePr>
            <a:graphic>
              <a:graphicData uri="http://schemas.openxmlformats.org/drawingml/2006/picture">
                <pic:pic>
                  <pic:nvPicPr>
                    <pic:cNvPr id="18" name="image11.png"/>
                    <pic:cNvPicPr/>
                  </pic:nvPicPr>
                  <pic:blipFill>
                    <a:blip r:embed="rId15" cstate="print"/>
                    <a:stretch>
                      <a:fillRect/>
                    </a:stretch>
                  </pic:blipFill>
                  <pic:spPr>
                    <a:xfrm>
                      <a:off x="0" y="0"/>
                      <a:ext cx="8410666" cy="4598000"/>
                    </a:xfrm>
                    <a:prstGeom prst="rect">
                      <a:avLst/>
                    </a:prstGeom>
                  </pic:spPr>
                </pic:pic>
              </a:graphicData>
            </a:graphic>
          </wp:anchor>
        </w:drawing>
      </w:r>
      <w:r>
        <w:rPr/>
        <w:t>在合同履行过程中，双方如有意见分歧，应本着公平、公正的原则，在本合同框架下尽量协商解决，协商不成时，应向甲方所在地有管辖权的人民法院提起诉讼。</w:t>
      </w:r>
    </w:p>
    <w:p>
      <w:pPr>
        <w:pStyle w:val="BodyText"/>
        <w:spacing w:before="23"/>
        <w:ind w:left="1060"/>
      </w:pPr>
      <w:r>
        <w:rPr/>
        <w:t>十六、附则</w:t>
      </w:r>
    </w:p>
    <w:p>
      <w:pPr>
        <w:pStyle w:val="ListParagraph"/>
        <w:numPr>
          <w:ilvl w:val="0"/>
          <w:numId w:val="9"/>
        </w:numPr>
        <w:tabs>
          <w:tab w:pos="1520" w:val="left" w:leader="none"/>
        </w:tabs>
        <w:spacing w:line="319" w:lineRule="auto" w:before="213" w:after="0"/>
        <w:ind w:left="120" w:right="1159" w:firstLine="940"/>
        <w:jc w:val="left"/>
        <w:rPr>
          <w:sz w:val="42"/>
        </w:rPr>
      </w:pPr>
      <w:r>
        <w:rPr>
          <w:spacing w:val="-1"/>
          <w:sz w:val="42"/>
        </w:rPr>
        <w:t>本合同的附件、补充协议、附属协议或其他相关协议、文件为本合同不可</w:t>
      </w:r>
      <w:r>
        <w:rPr>
          <w:sz w:val="42"/>
        </w:rPr>
        <w:t>分割的组成部分，与本合同具有同等的法律效力。</w:t>
      </w:r>
    </w:p>
    <w:p>
      <w:pPr>
        <w:pStyle w:val="ListParagraph"/>
        <w:numPr>
          <w:ilvl w:val="0"/>
          <w:numId w:val="9"/>
        </w:numPr>
        <w:tabs>
          <w:tab w:pos="1699" w:val="left" w:leader="none"/>
          <w:tab w:pos="1700" w:val="left" w:leader="none"/>
        </w:tabs>
        <w:spacing w:line="240" w:lineRule="auto" w:before="38" w:after="0"/>
        <w:ind w:left="1700" w:right="0" w:hanging="700"/>
        <w:jc w:val="left"/>
        <w:rPr>
          <w:sz w:val="42"/>
        </w:rPr>
      </w:pPr>
      <w:r>
        <w:rPr>
          <w:sz w:val="42"/>
        </w:rPr>
        <w:t>本合同一式两份，甲乙双方各执一份。</w:t>
      </w:r>
    </w:p>
    <w:p>
      <w:pPr>
        <w:pStyle w:val="BodyText"/>
        <w:spacing w:before="11"/>
        <w:ind w:left="0"/>
        <w:rPr>
          <w:sz w:val="73"/>
        </w:rPr>
      </w:pPr>
    </w:p>
    <w:p>
      <w:pPr>
        <w:pStyle w:val="BodyText"/>
        <w:tabs>
          <w:tab w:pos="8679" w:val="left" w:leader="none"/>
          <w:tab w:pos="11419" w:val="left" w:leader="none"/>
        </w:tabs>
        <w:rPr>
          <w:rFonts w:ascii="Arial" w:eastAsia="Arial"/>
        </w:rPr>
      </w:pPr>
      <w:r>
        <w:rPr/>
        <w:t>甲</w:t>
      </w:r>
      <w:r>
        <w:rPr>
          <w:spacing w:val="60"/>
        </w:rPr>
        <w:t>方</w:t>
      </w:r>
      <w:r>
        <w:rPr>
          <w:rFonts w:ascii="Arial" w:eastAsia="Arial"/>
        </w:rPr>
        <w:t>(</w:t>
      </w:r>
      <w:r>
        <w:rPr>
          <w:rFonts w:ascii="Arial" w:eastAsia="Arial"/>
          <w:spacing w:val="-37"/>
        </w:rPr>
        <w:t> </w:t>
      </w:r>
      <w:r>
        <w:rPr/>
        <w:t>盖</w:t>
      </w:r>
      <w:r>
        <w:rPr>
          <w:spacing w:val="80"/>
        </w:rPr>
        <w:t>章</w:t>
      </w:r>
      <w:r>
        <w:rPr>
          <w:rFonts w:ascii="Arial" w:eastAsia="Arial"/>
        </w:rPr>
        <w:t>)</w:t>
      </w:r>
      <w:r>
        <w:rPr>
          <w:rFonts w:ascii="Arial" w:eastAsia="Arial"/>
          <w:spacing w:val="-37"/>
        </w:rPr>
        <w:t> </w:t>
      </w:r>
      <w:r>
        <w:rPr/>
        <w:t>：</w:t>
        <w:tab/>
        <w:t>乙方（盖章）</w:t>
        <w:tab/>
      </w:r>
      <w:r>
        <w:rPr>
          <w:rFonts w:ascii="Arial" w:eastAsia="Arial"/>
        </w:rPr>
        <w:t>:</w:t>
      </w:r>
    </w:p>
    <w:p>
      <w:pPr>
        <w:pStyle w:val="BodyText"/>
        <w:ind w:left="0"/>
        <w:rPr>
          <w:rFonts w:ascii="Arial"/>
          <w:sz w:val="50"/>
        </w:rPr>
      </w:pPr>
    </w:p>
    <w:p>
      <w:pPr>
        <w:pStyle w:val="BodyText"/>
        <w:tabs>
          <w:tab w:pos="8679" w:val="left" w:leader="none"/>
        </w:tabs>
        <w:spacing w:before="438"/>
      </w:pPr>
      <w:r>
        <w:rPr/>
        <w:t>代表人：</w:t>
        <w:tab/>
        <w:t>代表人：</w:t>
      </w:r>
    </w:p>
    <w:p>
      <w:pPr>
        <w:pStyle w:val="BodyText"/>
        <w:tabs>
          <w:tab w:pos="8679" w:val="left" w:leader="none"/>
        </w:tabs>
        <w:spacing w:before="233"/>
      </w:pPr>
      <w:r>
        <w:rPr/>
        <w:t>地址：</w:t>
        <w:tab/>
        <w:t>地址：</w:t>
      </w:r>
    </w:p>
    <w:p>
      <w:pPr>
        <w:pStyle w:val="BodyText"/>
        <w:tabs>
          <w:tab w:pos="8679" w:val="left" w:leader="none"/>
        </w:tabs>
        <w:spacing w:before="212"/>
      </w:pPr>
      <w:r>
        <w:rPr/>
        <w:t>电话：</w:t>
        <w:tab/>
        <w:t>电话：</w:t>
      </w:r>
    </w:p>
    <w:p>
      <w:pPr>
        <w:pStyle w:val="BodyText"/>
        <w:tabs>
          <w:tab w:pos="8679" w:val="left" w:leader="none"/>
        </w:tabs>
        <w:spacing w:before="213"/>
      </w:pPr>
      <w:r>
        <w:rPr/>
        <w:t>开户行：</w:t>
        <w:tab/>
        <w:t>开户行：</w:t>
      </w:r>
    </w:p>
    <w:p>
      <w:pPr>
        <w:pStyle w:val="BodyText"/>
        <w:tabs>
          <w:tab w:pos="8679" w:val="left" w:leader="none"/>
        </w:tabs>
        <w:spacing w:before="213"/>
      </w:pPr>
      <w:r>
        <w:rPr/>
        <w:t>银行账号：</w:t>
        <w:tab/>
        <w:t>银行账号：</w:t>
      </w:r>
    </w:p>
    <w:p>
      <w:pPr>
        <w:pStyle w:val="BodyText"/>
        <w:ind w:left="0"/>
        <w:rPr>
          <w:sz w:val="48"/>
        </w:rPr>
      </w:pPr>
    </w:p>
    <w:p>
      <w:pPr>
        <w:pStyle w:val="BodyText"/>
        <w:tabs>
          <w:tab w:pos="1359" w:val="left" w:leader="none"/>
          <w:tab w:pos="2719" w:val="left" w:leader="none"/>
          <w:tab w:pos="8599" w:val="left" w:leader="none"/>
          <w:tab w:pos="9939" w:val="left" w:leader="none"/>
          <w:tab w:pos="11299" w:val="left" w:leader="none"/>
        </w:tabs>
        <w:spacing w:before="361"/>
        <w:ind w:left="0" w:right="599"/>
        <w:jc w:val="center"/>
      </w:pPr>
      <w:r>
        <w:rPr/>
        <w:t>年</w:t>
        <w:tab/>
        <w:t>月</w:t>
        <w:tab/>
        <w:t>日</w:t>
        <w:tab/>
        <w:t>年</w:t>
        <w:tab/>
        <w:t>月</w:t>
        <w:tab/>
        <w:t>日</w:t>
      </w:r>
    </w:p>
    <w:sectPr>
      <w:pgSz w:w="19120" w:h="27080"/>
      <w:pgMar w:top="2540" w:bottom="280" w:left="1600" w:right="1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Arial">
    <w:altName w:val="Arial"/>
    <w:charset w:val="0"/>
    <w:family w:val="swiss"/>
    <w:pitch w:val="variable"/>
  </w:font>
  <w:font w:name="PMingLiU">
    <w:altName w:val="PMingLiU"/>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20" w:hanging="46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60"/>
      </w:pPr>
      <w:rPr>
        <w:rFonts w:hint="default"/>
        <w:lang w:val="en-US" w:eastAsia="zh-CN" w:bidi="ar-SA"/>
      </w:rPr>
    </w:lvl>
    <w:lvl w:ilvl="2">
      <w:start w:val="0"/>
      <w:numFmt w:val="bullet"/>
      <w:lvlText w:val="•"/>
      <w:lvlJc w:val="left"/>
      <w:pPr>
        <w:ind w:left="3320" w:hanging="460"/>
      </w:pPr>
      <w:rPr>
        <w:rFonts w:hint="default"/>
        <w:lang w:val="en-US" w:eastAsia="zh-CN" w:bidi="ar-SA"/>
      </w:rPr>
    </w:lvl>
    <w:lvl w:ilvl="3">
      <w:start w:val="0"/>
      <w:numFmt w:val="bullet"/>
      <w:lvlText w:val="•"/>
      <w:lvlJc w:val="left"/>
      <w:pPr>
        <w:ind w:left="4920" w:hanging="460"/>
      </w:pPr>
      <w:rPr>
        <w:rFonts w:hint="default"/>
        <w:lang w:val="en-US" w:eastAsia="zh-CN" w:bidi="ar-SA"/>
      </w:rPr>
    </w:lvl>
    <w:lvl w:ilvl="4">
      <w:start w:val="0"/>
      <w:numFmt w:val="bullet"/>
      <w:lvlText w:val="•"/>
      <w:lvlJc w:val="left"/>
      <w:pPr>
        <w:ind w:left="6520" w:hanging="460"/>
      </w:pPr>
      <w:rPr>
        <w:rFonts w:hint="default"/>
        <w:lang w:val="en-US" w:eastAsia="zh-CN" w:bidi="ar-SA"/>
      </w:rPr>
    </w:lvl>
    <w:lvl w:ilvl="5">
      <w:start w:val="0"/>
      <w:numFmt w:val="bullet"/>
      <w:lvlText w:val="•"/>
      <w:lvlJc w:val="left"/>
      <w:pPr>
        <w:ind w:left="8120" w:hanging="460"/>
      </w:pPr>
      <w:rPr>
        <w:rFonts w:hint="default"/>
        <w:lang w:val="en-US" w:eastAsia="zh-CN" w:bidi="ar-SA"/>
      </w:rPr>
    </w:lvl>
    <w:lvl w:ilvl="6">
      <w:start w:val="0"/>
      <w:numFmt w:val="bullet"/>
      <w:lvlText w:val="•"/>
      <w:lvlJc w:val="left"/>
      <w:pPr>
        <w:ind w:left="9720" w:hanging="460"/>
      </w:pPr>
      <w:rPr>
        <w:rFonts w:hint="default"/>
        <w:lang w:val="en-US" w:eastAsia="zh-CN" w:bidi="ar-SA"/>
      </w:rPr>
    </w:lvl>
    <w:lvl w:ilvl="7">
      <w:start w:val="0"/>
      <w:numFmt w:val="bullet"/>
      <w:lvlText w:val="•"/>
      <w:lvlJc w:val="left"/>
      <w:pPr>
        <w:ind w:left="11320" w:hanging="460"/>
      </w:pPr>
      <w:rPr>
        <w:rFonts w:hint="default"/>
        <w:lang w:val="en-US" w:eastAsia="zh-CN" w:bidi="ar-SA"/>
      </w:rPr>
    </w:lvl>
    <w:lvl w:ilvl="8">
      <w:start w:val="0"/>
      <w:numFmt w:val="bullet"/>
      <w:lvlText w:val="•"/>
      <w:lvlJc w:val="left"/>
      <w:pPr>
        <w:ind w:left="12920" w:hanging="460"/>
      </w:pPr>
      <w:rPr>
        <w:rFonts w:hint="default"/>
        <w:lang w:val="en-US" w:eastAsia="zh-CN" w:bidi="ar-SA"/>
      </w:rPr>
    </w:lvl>
  </w:abstractNum>
  <w:abstractNum w:abstractNumId="7">
    <w:multiLevelType w:val="hybridMultilevel"/>
    <w:lvl w:ilvl="0">
      <w:start w:val="1"/>
      <w:numFmt w:val="decimal"/>
      <w:lvlText w:val="%1."/>
      <w:lvlJc w:val="left"/>
      <w:pPr>
        <w:ind w:left="120" w:hanging="46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60"/>
      </w:pPr>
      <w:rPr>
        <w:rFonts w:hint="default"/>
        <w:lang w:val="en-US" w:eastAsia="zh-CN" w:bidi="ar-SA"/>
      </w:rPr>
    </w:lvl>
    <w:lvl w:ilvl="2">
      <w:start w:val="0"/>
      <w:numFmt w:val="bullet"/>
      <w:lvlText w:val="•"/>
      <w:lvlJc w:val="left"/>
      <w:pPr>
        <w:ind w:left="3320" w:hanging="460"/>
      </w:pPr>
      <w:rPr>
        <w:rFonts w:hint="default"/>
        <w:lang w:val="en-US" w:eastAsia="zh-CN" w:bidi="ar-SA"/>
      </w:rPr>
    </w:lvl>
    <w:lvl w:ilvl="3">
      <w:start w:val="0"/>
      <w:numFmt w:val="bullet"/>
      <w:lvlText w:val="•"/>
      <w:lvlJc w:val="left"/>
      <w:pPr>
        <w:ind w:left="4920" w:hanging="460"/>
      </w:pPr>
      <w:rPr>
        <w:rFonts w:hint="default"/>
        <w:lang w:val="en-US" w:eastAsia="zh-CN" w:bidi="ar-SA"/>
      </w:rPr>
    </w:lvl>
    <w:lvl w:ilvl="4">
      <w:start w:val="0"/>
      <w:numFmt w:val="bullet"/>
      <w:lvlText w:val="•"/>
      <w:lvlJc w:val="left"/>
      <w:pPr>
        <w:ind w:left="6520" w:hanging="460"/>
      </w:pPr>
      <w:rPr>
        <w:rFonts w:hint="default"/>
        <w:lang w:val="en-US" w:eastAsia="zh-CN" w:bidi="ar-SA"/>
      </w:rPr>
    </w:lvl>
    <w:lvl w:ilvl="5">
      <w:start w:val="0"/>
      <w:numFmt w:val="bullet"/>
      <w:lvlText w:val="•"/>
      <w:lvlJc w:val="left"/>
      <w:pPr>
        <w:ind w:left="8120" w:hanging="460"/>
      </w:pPr>
      <w:rPr>
        <w:rFonts w:hint="default"/>
        <w:lang w:val="en-US" w:eastAsia="zh-CN" w:bidi="ar-SA"/>
      </w:rPr>
    </w:lvl>
    <w:lvl w:ilvl="6">
      <w:start w:val="0"/>
      <w:numFmt w:val="bullet"/>
      <w:lvlText w:val="•"/>
      <w:lvlJc w:val="left"/>
      <w:pPr>
        <w:ind w:left="9720" w:hanging="460"/>
      </w:pPr>
      <w:rPr>
        <w:rFonts w:hint="default"/>
        <w:lang w:val="en-US" w:eastAsia="zh-CN" w:bidi="ar-SA"/>
      </w:rPr>
    </w:lvl>
    <w:lvl w:ilvl="7">
      <w:start w:val="0"/>
      <w:numFmt w:val="bullet"/>
      <w:lvlText w:val="•"/>
      <w:lvlJc w:val="left"/>
      <w:pPr>
        <w:ind w:left="11320" w:hanging="460"/>
      </w:pPr>
      <w:rPr>
        <w:rFonts w:hint="default"/>
        <w:lang w:val="en-US" w:eastAsia="zh-CN" w:bidi="ar-SA"/>
      </w:rPr>
    </w:lvl>
    <w:lvl w:ilvl="8">
      <w:start w:val="0"/>
      <w:numFmt w:val="bullet"/>
      <w:lvlText w:val="•"/>
      <w:lvlJc w:val="left"/>
      <w:pPr>
        <w:ind w:left="12920" w:hanging="460"/>
      </w:pPr>
      <w:rPr>
        <w:rFonts w:hint="default"/>
        <w:lang w:val="en-US" w:eastAsia="zh-CN" w:bidi="ar-SA"/>
      </w:rPr>
    </w:lvl>
  </w:abstractNum>
  <w:abstractNum w:abstractNumId="6">
    <w:multiLevelType w:val="hybridMultilevel"/>
    <w:lvl w:ilvl="0">
      <w:start w:val="1"/>
      <w:numFmt w:val="decimal"/>
      <w:lvlText w:val="%1."/>
      <w:lvlJc w:val="left"/>
      <w:pPr>
        <w:ind w:left="1480" w:hanging="48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2944" w:hanging="480"/>
      </w:pPr>
      <w:rPr>
        <w:rFonts w:hint="default"/>
        <w:lang w:val="en-US" w:eastAsia="zh-CN" w:bidi="ar-SA"/>
      </w:rPr>
    </w:lvl>
    <w:lvl w:ilvl="2">
      <w:start w:val="0"/>
      <w:numFmt w:val="bullet"/>
      <w:lvlText w:val="•"/>
      <w:lvlJc w:val="left"/>
      <w:pPr>
        <w:ind w:left="4408" w:hanging="480"/>
      </w:pPr>
      <w:rPr>
        <w:rFonts w:hint="default"/>
        <w:lang w:val="en-US" w:eastAsia="zh-CN" w:bidi="ar-SA"/>
      </w:rPr>
    </w:lvl>
    <w:lvl w:ilvl="3">
      <w:start w:val="0"/>
      <w:numFmt w:val="bullet"/>
      <w:lvlText w:val="•"/>
      <w:lvlJc w:val="left"/>
      <w:pPr>
        <w:ind w:left="5872" w:hanging="480"/>
      </w:pPr>
      <w:rPr>
        <w:rFonts w:hint="default"/>
        <w:lang w:val="en-US" w:eastAsia="zh-CN" w:bidi="ar-SA"/>
      </w:rPr>
    </w:lvl>
    <w:lvl w:ilvl="4">
      <w:start w:val="0"/>
      <w:numFmt w:val="bullet"/>
      <w:lvlText w:val="•"/>
      <w:lvlJc w:val="left"/>
      <w:pPr>
        <w:ind w:left="7336" w:hanging="480"/>
      </w:pPr>
      <w:rPr>
        <w:rFonts w:hint="default"/>
        <w:lang w:val="en-US" w:eastAsia="zh-CN" w:bidi="ar-SA"/>
      </w:rPr>
    </w:lvl>
    <w:lvl w:ilvl="5">
      <w:start w:val="0"/>
      <w:numFmt w:val="bullet"/>
      <w:lvlText w:val="•"/>
      <w:lvlJc w:val="left"/>
      <w:pPr>
        <w:ind w:left="8800" w:hanging="480"/>
      </w:pPr>
      <w:rPr>
        <w:rFonts w:hint="default"/>
        <w:lang w:val="en-US" w:eastAsia="zh-CN" w:bidi="ar-SA"/>
      </w:rPr>
    </w:lvl>
    <w:lvl w:ilvl="6">
      <w:start w:val="0"/>
      <w:numFmt w:val="bullet"/>
      <w:lvlText w:val="•"/>
      <w:lvlJc w:val="left"/>
      <w:pPr>
        <w:ind w:left="10264" w:hanging="480"/>
      </w:pPr>
      <w:rPr>
        <w:rFonts w:hint="default"/>
        <w:lang w:val="en-US" w:eastAsia="zh-CN" w:bidi="ar-SA"/>
      </w:rPr>
    </w:lvl>
    <w:lvl w:ilvl="7">
      <w:start w:val="0"/>
      <w:numFmt w:val="bullet"/>
      <w:lvlText w:val="•"/>
      <w:lvlJc w:val="left"/>
      <w:pPr>
        <w:ind w:left="11728" w:hanging="480"/>
      </w:pPr>
      <w:rPr>
        <w:rFonts w:hint="default"/>
        <w:lang w:val="en-US" w:eastAsia="zh-CN" w:bidi="ar-SA"/>
      </w:rPr>
    </w:lvl>
    <w:lvl w:ilvl="8">
      <w:start w:val="0"/>
      <w:numFmt w:val="bullet"/>
      <w:lvlText w:val="•"/>
      <w:lvlJc w:val="left"/>
      <w:pPr>
        <w:ind w:left="13192" w:hanging="480"/>
      </w:pPr>
      <w:rPr>
        <w:rFonts w:hint="default"/>
        <w:lang w:val="en-US" w:eastAsia="zh-CN" w:bidi="ar-SA"/>
      </w:rPr>
    </w:lvl>
  </w:abstractNum>
  <w:abstractNum w:abstractNumId="5">
    <w:multiLevelType w:val="hybridMultilevel"/>
    <w:lvl w:ilvl="0">
      <w:start w:val="1"/>
      <w:numFmt w:val="decimal"/>
      <w:lvlText w:val="%1."/>
      <w:lvlJc w:val="left"/>
      <w:pPr>
        <w:ind w:left="120" w:hanging="48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80"/>
      </w:pPr>
      <w:rPr>
        <w:rFonts w:hint="default"/>
        <w:lang w:val="en-US" w:eastAsia="zh-CN" w:bidi="ar-SA"/>
      </w:rPr>
    </w:lvl>
    <w:lvl w:ilvl="2">
      <w:start w:val="0"/>
      <w:numFmt w:val="bullet"/>
      <w:lvlText w:val="•"/>
      <w:lvlJc w:val="left"/>
      <w:pPr>
        <w:ind w:left="3320" w:hanging="480"/>
      </w:pPr>
      <w:rPr>
        <w:rFonts w:hint="default"/>
        <w:lang w:val="en-US" w:eastAsia="zh-CN" w:bidi="ar-SA"/>
      </w:rPr>
    </w:lvl>
    <w:lvl w:ilvl="3">
      <w:start w:val="0"/>
      <w:numFmt w:val="bullet"/>
      <w:lvlText w:val="•"/>
      <w:lvlJc w:val="left"/>
      <w:pPr>
        <w:ind w:left="4920" w:hanging="480"/>
      </w:pPr>
      <w:rPr>
        <w:rFonts w:hint="default"/>
        <w:lang w:val="en-US" w:eastAsia="zh-CN" w:bidi="ar-SA"/>
      </w:rPr>
    </w:lvl>
    <w:lvl w:ilvl="4">
      <w:start w:val="0"/>
      <w:numFmt w:val="bullet"/>
      <w:lvlText w:val="•"/>
      <w:lvlJc w:val="left"/>
      <w:pPr>
        <w:ind w:left="6520" w:hanging="480"/>
      </w:pPr>
      <w:rPr>
        <w:rFonts w:hint="default"/>
        <w:lang w:val="en-US" w:eastAsia="zh-CN" w:bidi="ar-SA"/>
      </w:rPr>
    </w:lvl>
    <w:lvl w:ilvl="5">
      <w:start w:val="0"/>
      <w:numFmt w:val="bullet"/>
      <w:lvlText w:val="•"/>
      <w:lvlJc w:val="left"/>
      <w:pPr>
        <w:ind w:left="8120" w:hanging="480"/>
      </w:pPr>
      <w:rPr>
        <w:rFonts w:hint="default"/>
        <w:lang w:val="en-US" w:eastAsia="zh-CN" w:bidi="ar-SA"/>
      </w:rPr>
    </w:lvl>
    <w:lvl w:ilvl="6">
      <w:start w:val="0"/>
      <w:numFmt w:val="bullet"/>
      <w:lvlText w:val="•"/>
      <w:lvlJc w:val="left"/>
      <w:pPr>
        <w:ind w:left="9720" w:hanging="480"/>
      </w:pPr>
      <w:rPr>
        <w:rFonts w:hint="default"/>
        <w:lang w:val="en-US" w:eastAsia="zh-CN" w:bidi="ar-SA"/>
      </w:rPr>
    </w:lvl>
    <w:lvl w:ilvl="7">
      <w:start w:val="0"/>
      <w:numFmt w:val="bullet"/>
      <w:lvlText w:val="•"/>
      <w:lvlJc w:val="left"/>
      <w:pPr>
        <w:ind w:left="11320" w:hanging="480"/>
      </w:pPr>
      <w:rPr>
        <w:rFonts w:hint="default"/>
        <w:lang w:val="en-US" w:eastAsia="zh-CN" w:bidi="ar-SA"/>
      </w:rPr>
    </w:lvl>
    <w:lvl w:ilvl="8">
      <w:start w:val="0"/>
      <w:numFmt w:val="bullet"/>
      <w:lvlText w:val="•"/>
      <w:lvlJc w:val="left"/>
      <w:pPr>
        <w:ind w:left="12920" w:hanging="480"/>
      </w:pPr>
      <w:rPr>
        <w:rFonts w:hint="default"/>
        <w:lang w:val="en-US" w:eastAsia="zh-CN" w:bidi="ar-SA"/>
      </w:rPr>
    </w:lvl>
  </w:abstractNum>
  <w:abstractNum w:abstractNumId="4">
    <w:multiLevelType w:val="hybridMultilevel"/>
    <w:lvl w:ilvl="0">
      <w:start w:val="1"/>
      <w:numFmt w:val="decimal"/>
      <w:lvlText w:val="%1."/>
      <w:lvlJc w:val="left"/>
      <w:pPr>
        <w:ind w:left="120" w:hanging="48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80"/>
      </w:pPr>
      <w:rPr>
        <w:rFonts w:hint="default"/>
        <w:lang w:val="en-US" w:eastAsia="zh-CN" w:bidi="ar-SA"/>
      </w:rPr>
    </w:lvl>
    <w:lvl w:ilvl="2">
      <w:start w:val="0"/>
      <w:numFmt w:val="bullet"/>
      <w:lvlText w:val="•"/>
      <w:lvlJc w:val="left"/>
      <w:pPr>
        <w:ind w:left="3320" w:hanging="480"/>
      </w:pPr>
      <w:rPr>
        <w:rFonts w:hint="default"/>
        <w:lang w:val="en-US" w:eastAsia="zh-CN" w:bidi="ar-SA"/>
      </w:rPr>
    </w:lvl>
    <w:lvl w:ilvl="3">
      <w:start w:val="0"/>
      <w:numFmt w:val="bullet"/>
      <w:lvlText w:val="•"/>
      <w:lvlJc w:val="left"/>
      <w:pPr>
        <w:ind w:left="4920" w:hanging="480"/>
      </w:pPr>
      <w:rPr>
        <w:rFonts w:hint="default"/>
        <w:lang w:val="en-US" w:eastAsia="zh-CN" w:bidi="ar-SA"/>
      </w:rPr>
    </w:lvl>
    <w:lvl w:ilvl="4">
      <w:start w:val="0"/>
      <w:numFmt w:val="bullet"/>
      <w:lvlText w:val="•"/>
      <w:lvlJc w:val="left"/>
      <w:pPr>
        <w:ind w:left="6520" w:hanging="480"/>
      </w:pPr>
      <w:rPr>
        <w:rFonts w:hint="default"/>
        <w:lang w:val="en-US" w:eastAsia="zh-CN" w:bidi="ar-SA"/>
      </w:rPr>
    </w:lvl>
    <w:lvl w:ilvl="5">
      <w:start w:val="0"/>
      <w:numFmt w:val="bullet"/>
      <w:lvlText w:val="•"/>
      <w:lvlJc w:val="left"/>
      <w:pPr>
        <w:ind w:left="8120" w:hanging="480"/>
      </w:pPr>
      <w:rPr>
        <w:rFonts w:hint="default"/>
        <w:lang w:val="en-US" w:eastAsia="zh-CN" w:bidi="ar-SA"/>
      </w:rPr>
    </w:lvl>
    <w:lvl w:ilvl="6">
      <w:start w:val="0"/>
      <w:numFmt w:val="bullet"/>
      <w:lvlText w:val="•"/>
      <w:lvlJc w:val="left"/>
      <w:pPr>
        <w:ind w:left="9720" w:hanging="480"/>
      </w:pPr>
      <w:rPr>
        <w:rFonts w:hint="default"/>
        <w:lang w:val="en-US" w:eastAsia="zh-CN" w:bidi="ar-SA"/>
      </w:rPr>
    </w:lvl>
    <w:lvl w:ilvl="7">
      <w:start w:val="0"/>
      <w:numFmt w:val="bullet"/>
      <w:lvlText w:val="•"/>
      <w:lvlJc w:val="left"/>
      <w:pPr>
        <w:ind w:left="11320" w:hanging="480"/>
      </w:pPr>
      <w:rPr>
        <w:rFonts w:hint="default"/>
        <w:lang w:val="en-US" w:eastAsia="zh-CN" w:bidi="ar-SA"/>
      </w:rPr>
    </w:lvl>
    <w:lvl w:ilvl="8">
      <w:start w:val="0"/>
      <w:numFmt w:val="bullet"/>
      <w:lvlText w:val="•"/>
      <w:lvlJc w:val="left"/>
      <w:pPr>
        <w:ind w:left="12920" w:hanging="480"/>
      </w:pPr>
      <w:rPr>
        <w:rFonts w:hint="default"/>
        <w:lang w:val="en-US" w:eastAsia="zh-CN" w:bidi="ar-SA"/>
      </w:rPr>
    </w:lvl>
  </w:abstractNum>
  <w:abstractNum w:abstractNumId="3">
    <w:multiLevelType w:val="hybridMultilevel"/>
    <w:lvl w:ilvl="0">
      <w:start w:val="1"/>
      <w:numFmt w:val="decimal"/>
      <w:lvlText w:val="%1."/>
      <w:lvlJc w:val="left"/>
      <w:pPr>
        <w:ind w:left="120" w:hanging="46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60"/>
      </w:pPr>
      <w:rPr>
        <w:rFonts w:hint="default"/>
        <w:lang w:val="en-US" w:eastAsia="zh-CN" w:bidi="ar-SA"/>
      </w:rPr>
    </w:lvl>
    <w:lvl w:ilvl="2">
      <w:start w:val="0"/>
      <w:numFmt w:val="bullet"/>
      <w:lvlText w:val="•"/>
      <w:lvlJc w:val="left"/>
      <w:pPr>
        <w:ind w:left="3320" w:hanging="460"/>
      </w:pPr>
      <w:rPr>
        <w:rFonts w:hint="default"/>
        <w:lang w:val="en-US" w:eastAsia="zh-CN" w:bidi="ar-SA"/>
      </w:rPr>
    </w:lvl>
    <w:lvl w:ilvl="3">
      <w:start w:val="0"/>
      <w:numFmt w:val="bullet"/>
      <w:lvlText w:val="•"/>
      <w:lvlJc w:val="left"/>
      <w:pPr>
        <w:ind w:left="4920" w:hanging="460"/>
      </w:pPr>
      <w:rPr>
        <w:rFonts w:hint="default"/>
        <w:lang w:val="en-US" w:eastAsia="zh-CN" w:bidi="ar-SA"/>
      </w:rPr>
    </w:lvl>
    <w:lvl w:ilvl="4">
      <w:start w:val="0"/>
      <w:numFmt w:val="bullet"/>
      <w:lvlText w:val="•"/>
      <w:lvlJc w:val="left"/>
      <w:pPr>
        <w:ind w:left="6520" w:hanging="460"/>
      </w:pPr>
      <w:rPr>
        <w:rFonts w:hint="default"/>
        <w:lang w:val="en-US" w:eastAsia="zh-CN" w:bidi="ar-SA"/>
      </w:rPr>
    </w:lvl>
    <w:lvl w:ilvl="5">
      <w:start w:val="0"/>
      <w:numFmt w:val="bullet"/>
      <w:lvlText w:val="•"/>
      <w:lvlJc w:val="left"/>
      <w:pPr>
        <w:ind w:left="8120" w:hanging="460"/>
      </w:pPr>
      <w:rPr>
        <w:rFonts w:hint="default"/>
        <w:lang w:val="en-US" w:eastAsia="zh-CN" w:bidi="ar-SA"/>
      </w:rPr>
    </w:lvl>
    <w:lvl w:ilvl="6">
      <w:start w:val="0"/>
      <w:numFmt w:val="bullet"/>
      <w:lvlText w:val="•"/>
      <w:lvlJc w:val="left"/>
      <w:pPr>
        <w:ind w:left="9720" w:hanging="460"/>
      </w:pPr>
      <w:rPr>
        <w:rFonts w:hint="default"/>
        <w:lang w:val="en-US" w:eastAsia="zh-CN" w:bidi="ar-SA"/>
      </w:rPr>
    </w:lvl>
    <w:lvl w:ilvl="7">
      <w:start w:val="0"/>
      <w:numFmt w:val="bullet"/>
      <w:lvlText w:val="•"/>
      <w:lvlJc w:val="left"/>
      <w:pPr>
        <w:ind w:left="11320" w:hanging="460"/>
      </w:pPr>
      <w:rPr>
        <w:rFonts w:hint="default"/>
        <w:lang w:val="en-US" w:eastAsia="zh-CN" w:bidi="ar-SA"/>
      </w:rPr>
    </w:lvl>
    <w:lvl w:ilvl="8">
      <w:start w:val="0"/>
      <w:numFmt w:val="bullet"/>
      <w:lvlText w:val="•"/>
      <w:lvlJc w:val="left"/>
      <w:pPr>
        <w:ind w:left="12920" w:hanging="460"/>
      </w:pPr>
      <w:rPr>
        <w:rFonts w:hint="default"/>
        <w:lang w:val="en-US" w:eastAsia="zh-CN" w:bidi="ar-SA"/>
      </w:rPr>
    </w:lvl>
  </w:abstractNum>
  <w:abstractNum w:abstractNumId="2">
    <w:multiLevelType w:val="hybridMultilevel"/>
    <w:lvl w:ilvl="0">
      <w:start w:val="1"/>
      <w:numFmt w:val="decimal"/>
      <w:lvlText w:val="%1."/>
      <w:lvlJc w:val="left"/>
      <w:pPr>
        <w:ind w:left="120" w:hanging="48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80"/>
      </w:pPr>
      <w:rPr>
        <w:rFonts w:hint="default"/>
        <w:lang w:val="en-US" w:eastAsia="zh-CN" w:bidi="ar-SA"/>
      </w:rPr>
    </w:lvl>
    <w:lvl w:ilvl="2">
      <w:start w:val="0"/>
      <w:numFmt w:val="bullet"/>
      <w:lvlText w:val="•"/>
      <w:lvlJc w:val="left"/>
      <w:pPr>
        <w:ind w:left="3320" w:hanging="480"/>
      </w:pPr>
      <w:rPr>
        <w:rFonts w:hint="default"/>
        <w:lang w:val="en-US" w:eastAsia="zh-CN" w:bidi="ar-SA"/>
      </w:rPr>
    </w:lvl>
    <w:lvl w:ilvl="3">
      <w:start w:val="0"/>
      <w:numFmt w:val="bullet"/>
      <w:lvlText w:val="•"/>
      <w:lvlJc w:val="left"/>
      <w:pPr>
        <w:ind w:left="4920" w:hanging="480"/>
      </w:pPr>
      <w:rPr>
        <w:rFonts w:hint="default"/>
        <w:lang w:val="en-US" w:eastAsia="zh-CN" w:bidi="ar-SA"/>
      </w:rPr>
    </w:lvl>
    <w:lvl w:ilvl="4">
      <w:start w:val="0"/>
      <w:numFmt w:val="bullet"/>
      <w:lvlText w:val="•"/>
      <w:lvlJc w:val="left"/>
      <w:pPr>
        <w:ind w:left="6520" w:hanging="480"/>
      </w:pPr>
      <w:rPr>
        <w:rFonts w:hint="default"/>
        <w:lang w:val="en-US" w:eastAsia="zh-CN" w:bidi="ar-SA"/>
      </w:rPr>
    </w:lvl>
    <w:lvl w:ilvl="5">
      <w:start w:val="0"/>
      <w:numFmt w:val="bullet"/>
      <w:lvlText w:val="•"/>
      <w:lvlJc w:val="left"/>
      <w:pPr>
        <w:ind w:left="8120" w:hanging="480"/>
      </w:pPr>
      <w:rPr>
        <w:rFonts w:hint="default"/>
        <w:lang w:val="en-US" w:eastAsia="zh-CN" w:bidi="ar-SA"/>
      </w:rPr>
    </w:lvl>
    <w:lvl w:ilvl="6">
      <w:start w:val="0"/>
      <w:numFmt w:val="bullet"/>
      <w:lvlText w:val="•"/>
      <w:lvlJc w:val="left"/>
      <w:pPr>
        <w:ind w:left="9720" w:hanging="480"/>
      </w:pPr>
      <w:rPr>
        <w:rFonts w:hint="default"/>
        <w:lang w:val="en-US" w:eastAsia="zh-CN" w:bidi="ar-SA"/>
      </w:rPr>
    </w:lvl>
    <w:lvl w:ilvl="7">
      <w:start w:val="0"/>
      <w:numFmt w:val="bullet"/>
      <w:lvlText w:val="•"/>
      <w:lvlJc w:val="left"/>
      <w:pPr>
        <w:ind w:left="11320" w:hanging="480"/>
      </w:pPr>
      <w:rPr>
        <w:rFonts w:hint="default"/>
        <w:lang w:val="en-US" w:eastAsia="zh-CN" w:bidi="ar-SA"/>
      </w:rPr>
    </w:lvl>
    <w:lvl w:ilvl="8">
      <w:start w:val="0"/>
      <w:numFmt w:val="bullet"/>
      <w:lvlText w:val="•"/>
      <w:lvlJc w:val="left"/>
      <w:pPr>
        <w:ind w:left="12920" w:hanging="480"/>
      </w:pPr>
      <w:rPr>
        <w:rFonts w:hint="default"/>
        <w:lang w:val="en-US" w:eastAsia="zh-CN" w:bidi="ar-SA"/>
      </w:rPr>
    </w:lvl>
  </w:abstractNum>
  <w:abstractNum w:abstractNumId="1">
    <w:multiLevelType w:val="hybridMultilevel"/>
    <w:lvl w:ilvl="0">
      <w:start w:val="1"/>
      <w:numFmt w:val="decimal"/>
      <w:lvlText w:val="%1."/>
      <w:lvlJc w:val="left"/>
      <w:pPr>
        <w:ind w:left="120" w:hanging="480"/>
        <w:jc w:val="left"/>
      </w:pPr>
      <w:rPr>
        <w:rFonts w:hint="default" w:ascii="Arial" w:hAnsi="Arial" w:eastAsia="Arial" w:cs="Arial"/>
        <w:spacing w:val="-1"/>
        <w:w w:val="100"/>
        <w:sz w:val="42"/>
        <w:szCs w:val="42"/>
        <w:lang w:val="en-US" w:eastAsia="zh-CN" w:bidi="ar-SA"/>
      </w:rPr>
    </w:lvl>
    <w:lvl w:ilvl="1">
      <w:start w:val="0"/>
      <w:numFmt w:val="bullet"/>
      <w:lvlText w:val="•"/>
      <w:lvlJc w:val="left"/>
      <w:pPr>
        <w:ind w:left="1720" w:hanging="480"/>
      </w:pPr>
      <w:rPr>
        <w:rFonts w:hint="default"/>
        <w:lang w:val="en-US" w:eastAsia="zh-CN" w:bidi="ar-SA"/>
      </w:rPr>
    </w:lvl>
    <w:lvl w:ilvl="2">
      <w:start w:val="0"/>
      <w:numFmt w:val="bullet"/>
      <w:lvlText w:val="•"/>
      <w:lvlJc w:val="left"/>
      <w:pPr>
        <w:ind w:left="3320" w:hanging="480"/>
      </w:pPr>
      <w:rPr>
        <w:rFonts w:hint="default"/>
        <w:lang w:val="en-US" w:eastAsia="zh-CN" w:bidi="ar-SA"/>
      </w:rPr>
    </w:lvl>
    <w:lvl w:ilvl="3">
      <w:start w:val="0"/>
      <w:numFmt w:val="bullet"/>
      <w:lvlText w:val="•"/>
      <w:lvlJc w:val="left"/>
      <w:pPr>
        <w:ind w:left="4920" w:hanging="480"/>
      </w:pPr>
      <w:rPr>
        <w:rFonts w:hint="default"/>
        <w:lang w:val="en-US" w:eastAsia="zh-CN" w:bidi="ar-SA"/>
      </w:rPr>
    </w:lvl>
    <w:lvl w:ilvl="4">
      <w:start w:val="0"/>
      <w:numFmt w:val="bullet"/>
      <w:lvlText w:val="•"/>
      <w:lvlJc w:val="left"/>
      <w:pPr>
        <w:ind w:left="6520" w:hanging="480"/>
      </w:pPr>
      <w:rPr>
        <w:rFonts w:hint="default"/>
        <w:lang w:val="en-US" w:eastAsia="zh-CN" w:bidi="ar-SA"/>
      </w:rPr>
    </w:lvl>
    <w:lvl w:ilvl="5">
      <w:start w:val="0"/>
      <w:numFmt w:val="bullet"/>
      <w:lvlText w:val="•"/>
      <w:lvlJc w:val="left"/>
      <w:pPr>
        <w:ind w:left="8120" w:hanging="480"/>
      </w:pPr>
      <w:rPr>
        <w:rFonts w:hint="default"/>
        <w:lang w:val="en-US" w:eastAsia="zh-CN" w:bidi="ar-SA"/>
      </w:rPr>
    </w:lvl>
    <w:lvl w:ilvl="6">
      <w:start w:val="0"/>
      <w:numFmt w:val="bullet"/>
      <w:lvlText w:val="•"/>
      <w:lvlJc w:val="left"/>
      <w:pPr>
        <w:ind w:left="9720" w:hanging="480"/>
      </w:pPr>
      <w:rPr>
        <w:rFonts w:hint="default"/>
        <w:lang w:val="en-US" w:eastAsia="zh-CN" w:bidi="ar-SA"/>
      </w:rPr>
    </w:lvl>
    <w:lvl w:ilvl="7">
      <w:start w:val="0"/>
      <w:numFmt w:val="bullet"/>
      <w:lvlText w:val="•"/>
      <w:lvlJc w:val="left"/>
      <w:pPr>
        <w:ind w:left="11320" w:hanging="480"/>
      </w:pPr>
      <w:rPr>
        <w:rFonts w:hint="default"/>
        <w:lang w:val="en-US" w:eastAsia="zh-CN" w:bidi="ar-SA"/>
      </w:rPr>
    </w:lvl>
    <w:lvl w:ilvl="8">
      <w:start w:val="0"/>
      <w:numFmt w:val="bullet"/>
      <w:lvlText w:val="•"/>
      <w:lvlJc w:val="left"/>
      <w:pPr>
        <w:ind w:left="12920" w:hanging="480"/>
      </w:pPr>
      <w:rPr>
        <w:rFonts w:hint="default"/>
        <w:lang w:val="en-US" w:eastAsia="zh-CN" w:bidi="ar-SA"/>
      </w:rPr>
    </w:lvl>
  </w:abstractNum>
  <w:abstractNum w:abstractNumId="0">
    <w:multiLevelType w:val="hybridMultilevel"/>
    <w:lvl w:ilvl="0">
      <w:start w:val="1"/>
      <w:numFmt w:val="decimal"/>
      <w:lvlText w:val="%1."/>
      <w:lvlJc w:val="left"/>
      <w:pPr>
        <w:ind w:left="1480" w:hanging="480"/>
        <w:jc w:val="right"/>
      </w:pPr>
      <w:rPr>
        <w:rFonts w:hint="default" w:ascii="Arial" w:hAnsi="Arial" w:eastAsia="Arial" w:cs="Arial"/>
        <w:spacing w:val="-1"/>
        <w:w w:val="100"/>
        <w:sz w:val="42"/>
        <w:szCs w:val="42"/>
        <w:lang w:val="en-US" w:eastAsia="zh-CN" w:bidi="ar-SA"/>
      </w:rPr>
    </w:lvl>
    <w:lvl w:ilvl="1">
      <w:start w:val="0"/>
      <w:numFmt w:val="bullet"/>
      <w:lvlText w:val="•"/>
      <w:lvlJc w:val="left"/>
      <w:pPr>
        <w:ind w:left="2944" w:hanging="480"/>
      </w:pPr>
      <w:rPr>
        <w:rFonts w:hint="default"/>
        <w:lang w:val="en-US" w:eastAsia="zh-CN" w:bidi="ar-SA"/>
      </w:rPr>
    </w:lvl>
    <w:lvl w:ilvl="2">
      <w:start w:val="0"/>
      <w:numFmt w:val="bullet"/>
      <w:lvlText w:val="•"/>
      <w:lvlJc w:val="left"/>
      <w:pPr>
        <w:ind w:left="4408" w:hanging="480"/>
      </w:pPr>
      <w:rPr>
        <w:rFonts w:hint="default"/>
        <w:lang w:val="en-US" w:eastAsia="zh-CN" w:bidi="ar-SA"/>
      </w:rPr>
    </w:lvl>
    <w:lvl w:ilvl="3">
      <w:start w:val="0"/>
      <w:numFmt w:val="bullet"/>
      <w:lvlText w:val="•"/>
      <w:lvlJc w:val="left"/>
      <w:pPr>
        <w:ind w:left="5872" w:hanging="480"/>
      </w:pPr>
      <w:rPr>
        <w:rFonts w:hint="default"/>
        <w:lang w:val="en-US" w:eastAsia="zh-CN" w:bidi="ar-SA"/>
      </w:rPr>
    </w:lvl>
    <w:lvl w:ilvl="4">
      <w:start w:val="0"/>
      <w:numFmt w:val="bullet"/>
      <w:lvlText w:val="•"/>
      <w:lvlJc w:val="left"/>
      <w:pPr>
        <w:ind w:left="7336" w:hanging="480"/>
      </w:pPr>
      <w:rPr>
        <w:rFonts w:hint="default"/>
        <w:lang w:val="en-US" w:eastAsia="zh-CN" w:bidi="ar-SA"/>
      </w:rPr>
    </w:lvl>
    <w:lvl w:ilvl="5">
      <w:start w:val="0"/>
      <w:numFmt w:val="bullet"/>
      <w:lvlText w:val="•"/>
      <w:lvlJc w:val="left"/>
      <w:pPr>
        <w:ind w:left="8800" w:hanging="480"/>
      </w:pPr>
      <w:rPr>
        <w:rFonts w:hint="default"/>
        <w:lang w:val="en-US" w:eastAsia="zh-CN" w:bidi="ar-SA"/>
      </w:rPr>
    </w:lvl>
    <w:lvl w:ilvl="6">
      <w:start w:val="0"/>
      <w:numFmt w:val="bullet"/>
      <w:lvlText w:val="•"/>
      <w:lvlJc w:val="left"/>
      <w:pPr>
        <w:ind w:left="10264" w:hanging="480"/>
      </w:pPr>
      <w:rPr>
        <w:rFonts w:hint="default"/>
        <w:lang w:val="en-US" w:eastAsia="zh-CN" w:bidi="ar-SA"/>
      </w:rPr>
    </w:lvl>
    <w:lvl w:ilvl="7">
      <w:start w:val="0"/>
      <w:numFmt w:val="bullet"/>
      <w:lvlText w:val="•"/>
      <w:lvlJc w:val="left"/>
      <w:pPr>
        <w:ind w:left="11728" w:hanging="480"/>
      </w:pPr>
      <w:rPr>
        <w:rFonts w:hint="default"/>
        <w:lang w:val="en-US" w:eastAsia="zh-CN" w:bidi="ar-SA"/>
      </w:rPr>
    </w:lvl>
    <w:lvl w:ilvl="8">
      <w:start w:val="0"/>
      <w:numFmt w:val="bullet"/>
      <w:lvlText w:val="•"/>
      <w:lvlJc w:val="left"/>
      <w:pPr>
        <w:ind w:left="13192" w:hanging="480"/>
      </w:pPr>
      <w:rPr>
        <w:rFonts w:hint="default"/>
        <w:lang w:val="en-US" w:eastAsia="zh-CN"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MingLiU" w:hAnsi="PMingLiU" w:eastAsia="PMingLiU" w:cs="PMingLiU"/>
      <w:lang w:val="en-US" w:eastAsia="zh-CN" w:bidi="ar-SA"/>
    </w:rPr>
  </w:style>
  <w:style w:styleId="BodyText" w:type="paragraph">
    <w:name w:val="Body Text"/>
    <w:basedOn w:val="Normal"/>
    <w:uiPriority w:val="1"/>
    <w:qFormat/>
    <w:pPr>
      <w:ind w:left="120"/>
    </w:pPr>
    <w:rPr>
      <w:rFonts w:ascii="PMingLiU" w:hAnsi="PMingLiU" w:eastAsia="PMingLiU" w:cs="PMingLiU"/>
      <w:sz w:val="42"/>
      <w:szCs w:val="42"/>
      <w:lang w:val="en-US" w:eastAsia="zh-CN" w:bidi="ar-SA"/>
    </w:rPr>
  </w:style>
  <w:style w:styleId="Title" w:type="paragraph">
    <w:name w:val="Title"/>
    <w:basedOn w:val="Normal"/>
    <w:uiPriority w:val="1"/>
    <w:qFormat/>
    <w:pPr>
      <w:ind w:left="2940"/>
    </w:pPr>
    <w:rPr>
      <w:rFonts w:ascii="PMingLiU" w:hAnsi="PMingLiU" w:eastAsia="PMingLiU" w:cs="PMingLiU"/>
      <w:sz w:val="64"/>
      <w:szCs w:val="64"/>
      <w:lang w:val="en-US" w:eastAsia="zh-CN" w:bidi="ar-SA"/>
    </w:rPr>
  </w:style>
  <w:style w:styleId="ListParagraph" w:type="paragraph">
    <w:name w:val="List Paragraph"/>
    <w:basedOn w:val="Normal"/>
    <w:uiPriority w:val="1"/>
    <w:qFormat/>
    <w:pPr>
      <w:ind w:left="120" w:hanging="480"/>
    </w:pPr>
    <w:rPr>
      <w:rFonts w:ascii="PMingLiU" w:hAnsi="PMingLiU" w:eastAsia="PMingLiU" w:cs="PMingLiU"/>
      <w:lang w:val="en-US" w:eastAsia="zh-CN" w:bidi="ar-SA"/>
    </w:rPr>
  </w:style>
  <w:style w:styleId="TableParagraph" w:type="paragraph">
    <w:name w:val="Table Paragraph"/>
    <w:basedOn w:val="Normal"/>
    <w:uiPriority w:val="1"/>
    <w:qFormat/>
    <w:pPr>
      <w:jc w:val="right"/>
    </w:pPr>
    <w:rPr>
      <w:rFonts w:ascii="PMingLiU" w:hAnsi="PMingLiU" w:eastAsia="PMingLiU" w:cs="PMingLiU"/>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bingdian001.com</dc:creator>
  <cp:keywords>bingdian001.com</cp:keywords>
  <dc:subject>bingdian001.com</dc:subject>
  <dc:title>bingdian001.com</dc:title>
  <dcterms:created xsi:type="dcterms:W3CDTF">2021-03-09T09:56:32Z</dcterms:created>
  <dcterms:modified xsi:type="dcterms:W3CDTF">2021-03-09T09:56:32Z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bingdian001.com</vt:lpwstr>
  </property>
  <property fmtid="{D5CDD505-2E9C-101B-9397-08002B2CF9AE}" pid="4" name="LastSaved">
    <vt:filetime>2020-10-20T00:00:00Z</vt:filetime>
  </property>
</Properties>
</file>